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rPr>
          <w:rFonts w:hint="eastAsia"/>
        </w:rPr>
      </w:pPr>
      <w:r>
        <w:rPr>
          <w:rFonts w:hint="eastAsia"/>
        </w:rPr>
        <w:t>北京大兴国际机场临空经济区（廊坊）管理委员会</w:t>
      </w:r>
    </w:p>
    <w:p>
      <w:pPr>
        <w:pStyle w:val="12"/>
        <w:bidi w:val="0"/>
      </w:pPr>
      <w:r>
        <w:rPr>
          <w:rFonts w:hint="eastAsia"/>
        </w:rPr>
        <w:t>20</w:t>
      </w:r>
      <w:r>
        <w:t>2</w:t>
      </w:r>
      <w:r>
        <w:rPr>
          <w:rFonts w:hint="eastAsia"/>
          <w:lang w:val="en-US" w:eastAsia="zh-CN"/>
        </w:rPr>
        <w:t>2</w:t>
      </w:r>
      <w:r>
        <w:rPr>
          <w:rFonts w:hint="eastAsia"/>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pStyle w:val="13"/>
        <w:bidi w:val="0"/>
      </w:pPr>
      <w:r>
        <w:t>按照《中华人民共和国预算法》、《中华人民共和国预算法实施条例》、《地方预决算公开操作规程》和《河北省省级预算公开办法》规定，现将</w:t>
      </w:r>
      <w:r>
        <w:rPr>
          <w:rFonts w:hint="eastAsia"/>
          <w:highlight w:val="none"/>
        </w:rPr>
        <w:t>北京大兴国际机场临空经济区（廊坊）管理委员会</w:t>
      </w:r>
      <w:r>
        <w:rPr>
          <w:highlight w:val="none"/>
        </w:rPr>
        <w:t>20</w:t>
      </w:r>
      <w:r>
        <w:rPr>
          <w:rFonts w:hint="eastAsia"/>
          <w:highlight w:val="none"/>
        </w:rPr>
        <w:t>2</w:t>
      </w:r>
      <w:r>
        <w:rPr>
          <w:highlight w:val="none"/>
        </w:rPr>
        <w:t>2年部门预算公开如下：</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pPr>
      <w:r>
        <w:t>一、部门职责及机构设置情况</w:t>
      </w:r>
    </w:p>
    <w:p>
      <w:pPr>
        <w:pStyle w:val="17"/>
        <w:keepNext w:val="0"/>
        <w:keepLines w:val="0"/>
        <w:pageBreakBefore w:val="0"/>
        <w:widowControl w:val="0"/>
        <w:numPr>
          <w:ilvl w:val="3"/>
          <w:numId w:val="0"/>
        </w:numPr>
        <w:kinsoku/>
        <w:wordWrap/>
        <w:overflowPunct/>
        <w:topLinePunct w:val="0"/>
        <w:autoSpaceDE/>
        <w:autoSpaceDN/>
        <w:bidi w:val="0"/>
        <w:adjustRightInd/>
        <w:snapToGrid/>
        <w:spacing w:line="560" w:lineRule="exact"/>
        <w:ind w:left="0" w:leftChars="0" w:firstLine="640" w:firstLineChars="200"/>
        <w:textAlignment w:val="auto"/>
      </w:pPr>
      <w:r>
        <w:t>部门职责：</w:t>
      </w:r>
    </w:p>
    <w:p>
      <w:pPr>
        <w:pStyle w:val="13"/>
        <w:bidi w:val="0"/>
        <w:rPr>
          <w:rFonts w:hint="eastAsia"/>
        </w:rPr>
      </w:pPr>
      <w:r>
        <w:rPr>
          <w:rFonts w:hint="eastAsia"/>
        </w:rPr>
        <w:t>（一）根据临空经济区功能定位，负责编制区域内总体规划、控制性详细规划和其他领域专项规划，按程序报批后组织实施。</w:t>
      </w:r>
    </w:p>
    <w:p>
      <w:pPr>
        <w:pStyle w:val="13"/>
        <w:bidi w:val="0"/>
        <w:rPr>
          <w:rFonts w:hint="eastAsia"/>
        </w:rPr>
      </w:pPr>
      <w:r>
        <w:rPr>
          <w:rFonts w:hint="eastAsia"/>
        </w:rPr>
        <w:t>（二）负责临空经济区支持政策体系的落实；审批或审核辖区固定资产投资项目；负责辖区基础设施和公用设施的建设和管理。</w:t>
      </w:r>
    </w:p>
    <w:p>
      <w:pPr>
        <w:pStyle w:val="13"/>
        <w:bidi w:val="0"/>
        <w:rPr>
          <w:rFonts w:hint="eastAsia"/>
        </w:rPr>
      </w:pPr>
      <w:r>
        <w:rPr>
          <w:rFonts w:hint="eastAsia"/>
        </w:rPr>
        <w:t>（三）负责辖区财政管理，实施辖区内财政预算、决算、国有资产管理和财政监督工作。</w:t>
      </w:r>
    </w:p>
    <w:p>
      <w:pPr>
        <w:pStyle w:val="13"/>
        <w:bidi w:val="0"/>
        <w:rPr>
          <w:rFonts w:hint="eastAsia"/>
        </w:rPr>
      </w:pPr>
      <w:r>
        <w:rPr>
          <w:rFonts w:hint="eastAsia"/>
        </w:rPr>
        <w:t>（四）负责招商引资、进出口贸易和国内外经济技术合作工作。</w:t>
      </w:r>
    </w:p>
    <w:p>
      <w:pPr>
        <w:pStyle w:val="13"/>
        <w:bidi w:val="0"/>
        <w:rPr>
          <w:rFonts w:hint="eastAsia"/>
        </w:rPr>
      </w:pPr>
      <w:r>
        <w:rPr>
          <w:rFonts w:hint="eastAsia"/>
        </w:rPr>
        <w:t>（五）负责辖区安全生产、市场监管、综合执法和机场的安全保障等工作。</w:t>
      </w:r>
    </w:p>
    <w:p>
      <w:pPr>
        <w:pStyle w:val="13"/>
        <w:bidi w:val="0"/>
        <w:rPr>
          <w:rFonts w:hint="eastAsia"/>
        </w:rPr>
      </w:pPr>
      <w:r>
        <w:rPr>
          <w:rFonts w:hint="eastAsia"/>
        </w:rPr>
        <w:t>（六）负责辖区人力资源和社会保障工作。</w:t>
      </w:r>
    </w:p>
    <w:p>
      <w:pPr>
        <w:pStyle w:val="13"/>
        <w:bidi w:val="0"/>
        <w:rPr>
          <w:rFonts w:hint="eastAsia"/>
        </w:rPr>
      </w:pPr>
      <w:r>
        <w:rPr>
          <w:rFonts w:hint="eastAsia"/>
        </w:rPr>
        <w:t>（七）负责协调配合临空经济总体管控区相关工作。</w:t>
      </w:r>
    </w:p>
    <w:p>
      <w:pPr>
        <w:pStyle w:val="13"/>
        <w:bidi w:val="0"/>
        <w:rPr>
          <w:rFonts w:hint="eastAsia"/>
        </w:rPr>
      </w:pPr>
      <w:r>
        <w:rPr>
          <w:rFonts w:hint="eastAsia"/>
        </w:rPr>
        <w:t>（八）负责与大兴临空经济区（自贸试验区大兴机场片区＜北京大兴＞）管理机构的对接、沟通、协调工作；与机场集团、各航空公司进行工作对接，协调推进临空经济区相关工作；对项目完成情况进行督查和考核。</w:t>
      </w:r>
    </w:p>
    <w:p>
      <w:pPr>
        <w:pStyle w:val="13"/>
        <w:bidi w:val="0"/>
        <w:rPr>
          <w:rFonts w:hint="eastAsia"/>
        </w:rPr>
      </w:pPr>
      <w:r>
        <w:rPr>
          <w:rFonts w:hint="eastAsia"/>
        </w:rPr>
        <w:t>（九）负责与临空经济区外围总体管控区规划建设及管控的协调。</w:t>
      </w:r>
    </w:p>
    <w:p>
      <w:pPr>
        <w:pStyle w:val="13"/>
        <w:bidi w:val="0"/>
        <w:rPr>
          <w:rFonts w:hint="eastAsia"/>
        </w:rPr>
      </w:pPr>
      <w:r>
        <w:rPr>
          <w:rFonts w:hint="eastAsia"/>
        </w:rPr>
        <w:t>（十）根据自贸试验区功能定位，负责开展制度创新、对外贸易、开放合作等相关工作。</w:t>
      </w:r>
    </w:p>
    <w:p>
      <w:pPr>
        <w:pStyle w:val="13"/>
        <w:bidi w:val="0"/>
        <w:rPr>
          <w:rFonts w:hint="eastAsia"/>
        </w:rPr>
      </w:pPr>
      <w:r>
        <w:rPr>
          <w:rFonts w:hint="eastAsia"/>
        </w:rPr>
        <w:t>（十一）完成临空经济区京冀联合工作领导小组和廊坊市政府、省北京新机场办公室及中国（河北）自由贸易试验区工作办公室交办的其他工作。</w:t>
      </w:r>
    </w:p>
    <w:p>
      <w:pPr>
        <w:pStyle w:val="17"/>
        <w:keepNext w:val="0"/>
        <w:keepLines w:val="0"/>
        <w:pageBreakBefore w:val="0"/>
        <w:widowControl w:val="0"/>
        <w:numPr>
          <w:ilvl w:val="3"/>
          <w:numId w:val="0"/>
        </w:numPr>
        <w:kinsoku/>
        <w:wordWrap/>
        <w:overflowPunct/>
        <w:topLinePunct w:val="0"/>
        <w:autoSpaceDE/>
        <w:autoSpaceDN/>
        <w:bidi w:val="0"/>
        <w:adjustRightInd/>
        <w:snapToGrid w:val="0"/>
        <w:ind w:leftChars="0" w:firstLine="640" w:firstLineChars="200"/>
        <w:textAlignment w:val="auto"/>
      </w:pPr>
      <w: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104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16"/>
        <w:gridCol w:w="1134"/>
        <w:gridCol w:w="1416"/>
        <w:gridCol w:w="2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116"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单位名称</w:t>
            </w:r>
          </w:p>
        </w:tc>
        <w:tc>
          <w:tcPr>
            <w:tcW w:w="1134"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单位性质</w:t>
            </w:r>
          </w:p>
        </w:tc>
        <w:tc>
          <w:tcPr>
            <w:tcW w:w="1416"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单位规格</w:t>
            </w:r>
          </w:p>
        </w:tc>
        <w:tc>
          <w:tcPr>
            <w:tcW w:w="2762" w:type="dxa"/>
            <w:vMerge w:val="restart"/>
            <w:shd w:val="clear" w:color="auto" w:fill="auto"/>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b/>
                <w:szCs w:val="24"/>
              </w:rPr>
            </w:pPr>
            <w:r>
              <w:rPr>
                <w:rFonts w:hint="default"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116"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134"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1416"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c>
          <w:tcPr>
            <w:tcW w:w="2762" w:type="dxa"/>
            <w:vMerge w:val="continue"/>
            <w:shd w:val="clear" w:color="auto" w:fill="auto"/>
            <w:vAlign w:val="center"/>
          </w:tcPr>
          <w:p>
            <w:pPr>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51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val="en-US" w:eastAsia="zh-CN"/>
              </w:rPr>
              <w:t>北京大兴国际机场临空经济区（廊坊）管理委员会</w:t>
            </w:r>
          </w:p>
        </w:tc>
        <w:tc>
          <w:tcPr>
            <w:tcW w:w="1134"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eastAsia="zh-CN"/>
              </w:rPr>
              <w:t>行政单位</w:t>
            </w:r>
          </w:p>
        </w:tc>
        <w:tc>
          <w:tcPr>
            <w:tcW w:w="1416"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书宋_GBK" w:cs="Times New Roman"/>
                <w:kern w:val="2"/>
                <w:sz w:val="21"/>
                <w:szCs w:val="24"/>
                <w:lang w:val="en-US" w:eastAsia="zh-CN" w:bidi="ar-SA"/>
              </w:rPr>
            </w:pPr>
            <w:r>
              <w:rPr>
                <w:rFonts w:hint="default"/>
              </w:rPr>
              <w:t>正处级</w:t>
            </w:r>
          </w:p>
        </w:tc>
        <w:tc>
          <w:tcPr>
            <w:tcW w:w="2762"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书宋_GBK" w:cs="Times New Roman"/>
                <w:kern w:val="2"/>
                <w:sz w:val="21"/>
                <w:szCs w:val="24"/>
                <w:lang w:val="en-US" w:eastAsia="zh-CN" w:bidi="ar-SA"/>
              </w:rPr>
            </w:pPr>
            <w:r>
              <w:rPr>
                <w:rFonts w:hint="eastAsia" w:ascii="Times New Roman" w:hAnsi="Times New Roman" w:eastAsia="方正书宋_GBK" w:cs="Times New Roman"/>
                <w:szCs w:val="24"/>
                <w:lang w:eastAsia="zh-CN"/>
              </w:rPr>
              <w:t>财政拨款</w:t>
            </w:r>
          </w:p>
        </w:tc>
      </w:tr>
    </w:tbl>
    <w:p>
      <w:pPr>
        <w:pStyle w:val="15"/>
        <w:bidi w:val="0"/>
      </w:pPr>
      <w:r>
        <w:t>二、部门预算安排的总体情况</w:t>
      </w:r>
    </w:p>
    <w:p>
      <w:pPr>
        <w:pStyle w:val="13"/>
        <w:bidi w:val="0"/>
      </w:pPr>
      <w:r>
        <w:rPr>
          <w:rFonts w:hint="eastAsia"/>
        </w:rPr>
        <w:t>按照预算管理有关规定，目前</w:t>
      </w:r>
      <w:r>
        <w:rPr>
          <w:rFonts w:hint="eastAsia"/>
          <w:highlight w:val="none"/>
        </w:rPr>
        <w:t>我区</w:t>
      </w:r>
      <w:r>
        <w:rPr>
          <w:rFonts w:hint="eastAsia"/>
        </w:rPr>
        <w:t>部门预算的编制实行综合预算制度，即全部收入和支出都反映在预算中。北京大兴国际机场临空经济区（廊坊）管理委员会机关及所属事业单位的收支包含在部门预算中。（因我部门除机关外，无其他下属预算单位，部门预算即为机关预算，不再单独公开机关预算和单位预算。）</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pStyle w:val="13"/>
        <w:bidi w:val="0"/>
      </w:pPr>
      <w:r>
        <w:t>反映本部门当年全部收入。20</w:t>
      </w:r>
      <w:r>
        <w:rPr>
          <w:rFonts w:hint="eastAsia"/>
        </w:rPr>
        <w:t>2</w:t>
      </w:r>
      <w:r>
        <w:t>2年预算收入</w:t>
      </w:r>
      <w:r>
        <w:rPr>
          <w:rFonts w:hint="eastAsia"/>
          <w:lang w:val="en-US" w:eastAsia="zh-CN"/>
        </w:rPr>
        <w:t>497582.62</w:t>
      </w:r>
      <w:r>
        <w:t>万元，其中：一般公共预算收入</w:t>
      </w:r>
      <w:r>
        <w:rPr>
          <w:rFonts w:hint="eastAsia"/>
          <w:lang w:val="en-US" w:eastAsia="zh-CN"/>
        </w:rPr>
        <w:t>175562.09</w:t>
      </w:r>
      <w:r>
        <w:t>万元，基金预算收入</w:t>
      </w:r>
      <w:r>
        <w:rPr>
          <w:rFonts w:hint="eastAsia"/>
          <w:lang w:val="en-US" w:eastAsia="zh-CN"/>
        </w:rPr>
        <w:t>316474.95</w:t>
      </w:r>
      <w:r>
        <w:t>万元，财政专户核拨收入</w:t>
      </w:r>
      <w:r>
        <w:rPr>
          <w:rFonts w:hint="eastAsia"/>
          <w:lang w:val="en-US" w:eastAsia="zh-CN"/>
        </w:rPr>
        <w:t>0.00</w:t>
      </w:r>
      <w:r>
        <w:t>万元，其他来源收入</w:t>
      </w:r>
      <w:r>
        <w:rPr>
          <w:rFonts w:hint="eastAsia"/>
          <w:lang w:val="en-US" w:eastAsia="zh-CN"/>
        </w:rPr>
        <w:t>0.00</w:t>
      </w:r>
      <w:r>
        <w:t>万元</w:t>
      </w:r>
      <w:r>
        <w:rPr>
          <w:rFonts w:hint="eastAsia"/>
        </w:rPr>
        <w:t>，</w:t>
      </w:r>
      <w:r>
        <w:t>上年结转</w:t>
      </w:r>
      <w:r>
        <w:rPr>
          <w:rFonts w:hint="eastAsia"/>
          <w:lang w:val="en-US" w:eastAsia="zh-CN"/>
        </w:rPr>
        <w:t>5545.58</w:t>
      </w:r>
      <w:r>
        <w:rPr>
          <w:rFonts w:hint="eastAsia"/>
        </w:rPr>
        <w:t>万元</w:t>
      </w:r>
      <w: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pStyle w:val="13"/>
        <w:bidi w:val="0"/>
      </w:pPr>
      <w:r>
        <w:t>收支预算总表支出栏、基本支出表、项目支出表按经济分类和支出功能分类科目编制，反映</w:t>
      </w:r>
      <w:r>
        <w:rPr>
          <w:rFonts w:hint="eastAsia"/>
          <w:lang w:eastAsia="zh-CN"/>
        </w:rPr>
        <w:t>北京大兴国际机场临空经济区（廊坊）管理委员会</w:t>
      </w:r>
      <w:r>
        <w:t>年度部门预算中支出预算的总体情况。20</w:t>
      </w:r>
      <w:r>
        <w:rPr>
          <w:rFonts w:hint="eastAsia"/>
        </w:rPr>
        <w:t>2</w:t>
      </w:r>
      <w:r>
        <w:t>2年支出预算</w:t>
      </w:r>
      <w:r>
        <w:rPr>
          <w:rFonts w:hint="eastAsia"/>
          <w:lang w:val="en-US" w:eastAsia="zh-CN"/>
        </w:rPr>
        <w:t>497582.62</w:t>
      </w:r>
      <w:r>
        <w:t>万元，其中基本支出</w:t>
      </w:r>
      <w:r>
        <w:rPr>
          <w:rFonts w:hint="eastAsia"/>
          <w:lang w:val="en-US" w:eastAsia="zh-CN"/>
        </w:rPr>
        <w:t>3539.33</w:t>
      </w:r>
      <w:r>
        <w:t>万元，包括人员类项目经费</w:t>
      </w:r>
      <w:r>
        <w:rPr>
          <w:rFonts w:hint="eastAsia"/>
          <w:lang w:val="en-US" w:eastAsia="zh-CN"/>
        </w:rPr>
        <w:t>2170.96</w:t>
      </w:r>
      <w:r>
        <w:t>万元和</w:t>
      </w:r>
      <w:r>
        <w:rPr>
          <w:rFonts w:hint="eastAsia"/>
        </w:rPr>
        <w:t>运转类</w:t>
      </w:r>
      <w:r>
        <w:t>公用项目经费</w:t>
      </w:r>
      <w:r>
        <w:rPr>
          <w:rFonts w:hint="eastAsia"/>
          <w:lang w:val="en-US" w:eastAsia="zh-CN"/>
        </w:rPr>
        <w:t>1368.37</w:t>
      </w:r>
      <w:r>
        <w:t>万元；运转类其他及特定目标类项目支出</w:t>
      </w:r>
      <w:r>
        <w:rPr>
          <w:rFonts w:hint="eastAsia"/>
          <w:lang w:val="en-US" w:eastAsia="zh-CN"/>
        </w:rPr>
        <w:t>494043.29</w:t>
      </w:r>
      <w:r>
        <w:t>万元，</w:t>
      </w:r>
      <w:r>
        <w:rPr>
          <w:rFonts w:hint="eastAsia"/>
          <w:lang w:eastAsia="zh-CN"/>
        </w:rPr>
        <w:t>全部为本级支出。</w:t>
      </w:r>
      <w:r>
        <w:t>主要为</w:t>
      </w:r>
      <w:r>
        <w:rPr>
          <w:rFonts w:hint="eastAsia"/>
          <w:lang w:eastAsia="zh-CN"/>
        </w:rPr>
        <w:t>产业综合服务体系编制费</w:t>
      </w:r>
      <w:r>
        <w:rPr>
          <w:rFonts w:hint="eastAsia"/>
          <w:lang w:val="en-US" w:eastAsia="zh-CN"/>
        </w:rPr>
        <w:t>项目</w:t>
      </w:r>
      <w:r>
        <w:t>、</w:t>
      </w:r>
      <w:r>
        <w:rPr>
          <w:rFonts w:hint="eastAsia"/>
          <w:lang w:eastAsia="zh-CN"/>
        </w:rPr>
        <w:t>城市环境综合整治提升年活动资金</w:t>
      </w:r>
      <w:r>
        <w:rPr>
          <w:rFonts w:hint="eastAsia"/>
          <w:lang w:val="en-US" w:eastAsia="zh-CN"/>
        </w:rPr>
        <w:t>项目</w:t>
      </w:r>
      <w:r>
        <w:t>、</w:t>
      </w:r>
      <w:r>
        <w:rPr>
          <w:rFonts w:hint="eastAsia"/>
          <w:lang w:eastAsia="zh-CN"/>
        </w:rPr>
        <w:t>规划管控导则体系编制费</w:t>
      </w:r>
      <w:r>
        <w:rPr>
          <w:rFonts w:hint="eastAsia"/>
          <w:lang w:val="en-US" w:eastAsia="zh-CN"/>
        </w:rPr>
        <w:t>项目、综保区运行维护费用项目、临空一中开办资金项目、临空24班小学开办资金项目、市政环卫运行经费项目、机场回迁区幼儿园开办资金项目、</w:t>
      </w:r>
      <w:r>
        <w:rPr>
          <w:rFonts w:hint="eastAsia"/>
          <w:lang w:eastAsia="zh-CN"/>
        </w:rPr>
        <w:t>机场回迁区九年一贯制学校开办资金</w:t>
      </w:r>
      <w:r>
        <w:rPr>
          <w:rFonts w:hint="eastAsia"/>
          <w:lang w:val="en-US" w:eastAsia="zh-CN"/>
        </w:rPr>
        <w:t>项目、河北临空集团注册资本金项目、</w:t>
      </w:r>
      <w:r>
        <w:rPr>
          <w:rFonts w:hint="eastAsia"/>
          <w:color w:val="auto"/>
          <w:lang w:val="en-US" w:eastAsia="zh-CN"/>
        </w:rPr>
        <w:t>临空集团结算资金项目、临空集团财政补贴资金项目、</w:t>
      </w:r>
      <w:r>
        <w:rPr>
          <w:rFonts w:hint="eastAsia"/>
          <w:lang w:val="en-US" w:eastAsia="zh-CN"/>
        </w:rPr>
        <w:t>土地转征组卷服务费、项目审批评估服务费项目、启动区详细城市设计编制费项目、临空综合警务保障资金项目、规划管控导则体系编制费项目、消防站开办资金项目</w:t>
      </w:r>
      <w:r>
        <w:t>等</w:t>
      </w:r>
      <w:r>
        <w:rPr>
          <w:rFonts w:hint="eastAsia"/>
          <w:lang w:eastAsia="zh-CN"/>
        </w:rPr>
        <w:t>项目的支出</w:t>
      </w:r>
      <w: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pStyle w:val="13"/>
        <w:bidi w:val="0"/>
      </w:pPr>
      <w:r>
        <w:t>20</w:t>
      </w:r>
      <w:r>
        <w:rPr>
          <w:rFonts w:hint="eastAsia"/>
        </w:rPr>
        <w:t>2</w:t>
      </w:r>
      <w:r>
        <w:t>2年预算收支安排</w:t>
      </w:r>
      <w:r>
        <w:rPr>
          <w:rFonts w:hint="eastAsia"/>
          <w:lang w:val="en-US" w:eastAsia="zh-CN"/>
        </w:rPr>
        <w:t>497582.62</w:t>
      </w:r>
      <w:r>
        <w:t>万元，较20</w:t>
      </w:r>
      <w:r>
        <w:rPr>
          <w:rFonts w:hint="eastAsia"/>
        </w:rPr>
        <w:t>2</w:t>
      </w:r>
      <w:r>
        <w:t>1年预算增加</w:t>
      </w:r>
      <w:r>
        <w:rPr>
          <w:rFonts w:hint="eastAsia"/>
          <w:lang w:val="en-US" w:eastAsia="zh-CN"/>
        </w:rPr>
        <w:t>29488.12</w:t>
      </w:r>
      <w:r>
        <w:t>万元，其中：基本支出增加</w:t>
      </w:r>
      <w:r>
        <w:rPr>
          <w:rFonts w:hint="eastAsia"/>
          <w:lang w:val="en-US" w:eastAsia="zh-CN"/>
        </w:rPr>
        <w:t>2886.75</w:t>
      </w:r>
      <w:r>
        <w:t>万元，</w:t>
      </w:r>
      <w:r>
        <w:rPr>
          <w:rFonts w:hint="eastAsia" w:ascii="仿宋_GB2312" w:hAnsi="仿宋_GB2312" w:eastAsia="仿宋_GB2312" w:cs="仿宋_GB2312"/>
          <w:color w:val="auto"/>
          <w:sz w:val="32"/>
          <w:szCs w:val="32"/>
          <w:highlight w:val="none"/>
        </w:rPr>
        <w:t>主要为</w:t>
      </w:r>
      <w:r>
        <w:rPr>
          <w:rFonts w:hint="eastAsia" w:ascii="仿宋_GB2312" w:hAnsi="仿宋_GB2312" w:eastAsia="仿宋_GB2312" w:cs="仿宋_GB2312"/>
          <w:color w:val="auto"/>
          <w:sz w:val="32"/>
          <w:szCs w:val="32"/>
          <w:highlight w:val="none"/>
          <w:lang w:val="en-US" w:eastAsia="zh-CN"/>
        </w:rPr>
        <w:t>2021年新增工作人员27名、2022年计划进行职工薪资制度改革，所以</w:t>
      </w: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eastAsia="zh-CN"/>
        </w:rPr>
        <w:t>增加</w:t>
      </w:r>
      <w:r>
        <w:rPr>
          <w:color w:val="auto"/>
        </w:rPr>
        <w:t>；项目支</w:t>
      </w:r>
      <w:r>
        <w:t>出增加</w:t>
      </w:r>
      <w:r>
        <w:rPr>
          <w:rFonts w:hint="eastAsia"/>
          <w:lang w:val="en-US" w:eastAsia="zh-CN"/>
        </w:rPr>
        <w:t>26601.37</w:t>
      </w:r>
      <w:r>
        <w:t>万元，主要为</w:t>
      </w:r>
      <w:r>
        <w:rPr>
          <w:rFonts w:hint="eastAsia"/>
          <w:lang w:val="en-US" w:eastAsia="zh-CN"/>
        </w:rPr>
        <w:t>2022年临空区增设学校、消防站等场所和</w:t>
      </w:r>
      <w:r>
        <w:rPr>
          <w:rFonts w:hint="eastAsia"/>
          <w:lang w:eastAsia="zh-CN"/>
        </w:rPr>
        <w:t>增加</w:t>
      </w:r>
      <w:r>
        <w:rPr>
          <w:rFonts w:hint="eastAsia"/>
          <w:lang w:val="en-US" w:eastAsia="zh-CN"/>
        </w:rPr>
        <w:t>河北临空集团注册资本金项目资金。增加临空一中开办资金项目、临空24班小学开办资金项目、机场回迁区幼儿园开办资金项目、</w:t>
      </w:r>
      <w:r>
        <w:rPr>
          <w:rFonts w:hint="eastAsia"/>
          <w:lang w:eastAsia="zh-CN"/>
        </w:rPr>
        <w:t>机场回迁区九年一贯制学校开办资金</w:t>
      </w:r>
      <w:r>
        <w:rPr>
          <w:rFonts w:hint="eastAsia"/>
          <w:lang w:val="en-US" w:eastAsia="zh-CN"/>
        </w:rPr>
        <w:t>项目、消防站开办资金项目等项目支出。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pStyle w:val="13"/>
        <w:bidi w:val="0"/>
      </w:pPr>
      <w:r>
        <w:t>20</w:t>
      </w:r>
      <w:r>
        <w:rPr>
          <w:rFonts w:hint="eastAsia"/>
        </w:rPr>
        <w:t>2</w:t>
      </w:r>
      <w:r>
        <w:t>2年，</w:t>
      </w:r>
      <w:r>
        <w:rPr>
          <w:rFonts w:hint="eastAsia"/>
          <w:lang w:eastAsia="zh-CN"/>
        </w:rPr>
        <w:t>我单位</w:t>
      </w:r>
      <w:r>
        <w:t>机关运行经费共计安排</w:t>
      </w:r>
      <w:r>
        <w:rPr>
          <w:rFonts w:hint="eastAsia"/>
          <w:lang w:val="en-US" w:eastAsia="zh-CN"/>
        </w:rPr>
        <w:t>1368.37</w:t>
      </w:r>
      <w:r>
        <w:t>万元，</w:t>
      </w:r>
      <w:r>
        <w:rPr>
          <w:rFonts w:hint="eastAsia"/>
          <w:lang w:eastAsia="zh-CN"/>
        </w:rPr>
        <w:t>主要用于临空服务中心办公用房租赁、</w:t>
      </w:r>
      <w:r>
        <w:rPr>
          <w:rFonts w:hint="eastAsia"/>
        </w:rPr>
        <w:t>办公区的日常维修、办公用房水电费</w:t>
      </w:r>
      <w:r>
        <w:rPr>
          <w:rFonts w:hint="eastAsia"/>
          <w:lang w:eastAsia="zh-CN"/>
        </w:rPr>
        <w:t>、</w:t>
      </w:r>
      <w:r>
        <w:rPr>
          <w:rFonts w:hint="eastAsia"/>
        </w:rPr>
        <w:t>办公用房取暖费、办公及印刷费</w:t>
      </w:r>
      <w:r>
        <w:rPr>
          <w:rFonts w:hint="eastAsia"/>
          <w:lang w:eastAsia="zh-CN"/>
        </w:rPr>
        <w:t>、</w:t>
      </w:r>
      <w:r>
        <w:rPr>
          <w:rFonts w:hint="eastAsia"/>
        </w:rPr>
        <w:t>邮电费、差旅费、会议费、福利费、工会经费、公务接待费、培训费、办公用房物业管理费、公务用车运行维护费、其他交通费用等日常运行支出</w:t>
      </w:r>
      <w:r>
        <w:t>。</w:t>
      </w:r>
    </w:p>
    <w:p>
      <w:pPr>
        <w:autoSpaceDE w:val="0"/>
        <w:autoSpaceDN w:val="0"/>
        <w:adjustRightInd w:val="0"/>
        <w:spacing w:line="584" w:lineRule="exact"/>
        <w:ind w:firstLine="629"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pStyle w:val="13"/>
        <w:bidi w:val="0"/>
        <w:rPr>
          <w:rFonts w:hint="eastAsia"/>
          <w:highlight w:val="none"/>
          <w:lang w:eastAsia="zh-CN"/>
        </w:rPr>
      </w:pPr>
      <w:r>
        <w:t>20</w:t>
      </w:r>
      <w:r>
        <w:rPr>
          <w:rFonts w:hint="eastAsia"/>
        </w:rPr>
        <w:t>2</w:t>
      </w:r>
      <w:r>
        <w:t>2年，</w:t>
      </w:r>
      <w:r>
        <w:rPr>
          <w:rFonts w:hint="eastAsia"/>
          <w:lang w:eastAsia="zh-CN"/>
        </w:rPr>
        <w:t>我单位</w:t>
      </w:r>
      <w:r>
        <w:t>财政拨款“三公”经费预算安排</w:t>
      </w:r>
      <w:r>
        <w:rPr>
          <w:rFonts w:hint="eastAsia"/>
          <w:lang w:val="en-US" w:eastAsia="zh-CN"/>
        </w:rPr>
        <w:t>10.47</w:t>
      </w:r>
      <w:r>
        <w:t>万元</w:t>
      </w:r>
      <w:r>
        <w:rPr>
          <w:rFonts w:hint="eastAsia"/>
        </w:rPr>
        <w:t>。</w:t>
      </w:r>
      <w:r>
        <w:t>其中</w:t>
      </w:r>
      <w:r>
        <w:rPr>
          <w:rFonts w:hint="eastAsia"/>
        </w:rPr>
        <w:t>，</w:t>
      </w:r>
      <w:r>
        <w:t>因公出国（境）费</w:t>
      </w:r>
      <w:r>
        <w:rPr>
          <w:rFonts w:hint="eastAsia"/>
          <w:lang w:val="en-US" w:eastAsia="zh-CN"/>
        </w:rPr>
        <w:t>0.00</w:t>
      </w:r>
      <w:r>
        <w:t>万元；公务用车购置及运维费</w:t>
      </w:r>
      <w:r>
        <w:rPr>
          <w:rFonts w:hint="eastAsia"/>
          <w:lang w:val="en-US" w:eastAsia="zh-CN"/>
        </w:rPr>
        <w:t>9.00</w:t>
      </w:r>
      <w:r>
        <w:t>万元（其中：公务用车购置费为</w:t>
      </w:r>
      <w:r>
        <w:rPr>
          <w:rFonts w:hint="eastAsia"/>
          <w:lang w:val="en-US" w:eastAsia="zh-CN"/>
        </w:rPr>
        <w:t>0.00</w:t>
      </w:r>
      <w:r>
        <w:t>万元，公务用车运维费</w:t>
      </w:r>
      <w:r>
        <w:rPr>
          <w:rFonts w:hint="eastAsia"/>
          <w:lang w:val="en-US" w:eastAsia="zh-CN"/>
        </w:rPr>
        <w:t>9.00</w:t>
      </w:r>
      <w:r>
        <w:t>万元)；公务接待费</w:t>
      </w:r>
      <w:r>
        <w:rPr>
          <w:rFonts w:hint="eastAsia"/>
          <w:lang w:val="en-US" w:eastAsia="zh-CN"/>
        </w:rPr>
        <w:t>1.47</w:t>
      </w:r>
      <w:r>
        <w:t>万元。与20</w:t>
      </w:r>
      <w:r>
        <w:rPr>
          <w:rFonts w:hint="eastAsia"/>
        </w:rPr>
        <w:t>2</w:t>
      </w:r>
      <w:r>
        <w:t>1年</w:t>
      </w:r>
      <w:r>
        <w:rPr>
          <w:rFonts w:hint="eastAsia"/>
        </w:rPr>
        <w:t>相比</w:t>
      </w:r>
      <w:r>
        <w:t>增</w:t>
      </w:r>
      <w:r>
        <w:rPr>
          <w:rFonts w:hint="eastAsia"/>
        </w:rPr>
        <w:t>加</w:t>
      </w:r>
      <w:r>
        <w:rPr>
          <w:rFonts w:hint="eastAsia"/>
          <w:lang w:val="en-US" w:eastAsia="zh-CN"/>
        </w:rPr>
        <w:t>0.74</w:t>
      </w:r>
      <w:r>
        <w:t>万元，</w:t>
      </w:r>
      <w:r>
        <w:rPr>
          <w:rFonts w:hint="eastAsia"/>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highlight w:val="none"/>
        </w:rPr>
        <w:t>与2021年相比持平，无增减变化</w:t>
      </w:r>
      <w:r>
        <w:rPr>
          <w:rFonts w:hint="eastAsia"/>
        </w:rPr>
        <w:t>；</w:t>
      </w:r>
      <w:r>
        <w:t>公务接待费</w:t>
      </w:r>
      <w:r>
        <w:rPr>
          <w:rFonts w:hint="eastAsia"/>
          <w:lang w:val="en-US" w:eastAsia="zh-CN"/>
        </w:rPr>
        <w:t>1.47</w:t>
      </w:r>
      <w:r>
        <w:t>万元增</w:t>
      </w:r>
      <w:r>
        <w:rPr>
          <w:rFonts w:hint="eastAsia"/>
        </w:rPr>
        <w:t>加</w:t>
      </w:r>
      <w:r>
        <w:rPr>
          <w:rFonts w:hint="eastAsia"/>
          <w:lang w:val="en-US" w:eastAsia="zh-CN"/>
        </w:rPr>
        <w:t>0.74</w:t>
      </w:r>
      <w:r>
        <w:rPr>
          <w:rFonts w:hint="eastAsia"/>
        </w:rPr>
        <w:t>万元，</w:t>
      </w:r>
      <w:r>
        <w:rPr>
          <w:highlight w:val="none"/>
        </w:rPr>
        <w:t>主要原因是</w:t>
      </w:r>
      <w:r>
        <w:rPr>
          <w:rFonts w:hint="eastAsia"/>
          <w:highlight w:val="none"/>
          <w:lang w:val="en-US" w:eastAsia="zh-CN"/>
        </w:rPr>
        <w:t>2022年人员增加，所以增加0.74万元</w:t>
      </w:r>
      <w:r>
        <w:rPr>
          <w:rFonts w:hint="eastAsia"/>
          <w:highlight w:val="none"/>
          <w:lang w:eastAsia="zh-CN"/>
        </w:rPr>
        <w:t>。</w:t>
      </w:r>
    </w:p>
    <w:p>
      <w:pPr>
        <w:pStyle w:val="15"/>
        <w:bidi w:val="0"/>
      </w:pPr>
      <w: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2"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3"/>
        <w:bidi w:val="0"/>
      </w:pPr>
      <w:r>
        <w:rPr>
          <w:rFonts w:hint="eastAsia"/>
        </w:rPr>
        <w:t>根据中共廊坊市委机构编织委员会《关于印发中共北京大兴国际机场临空经济区（廊坊）工作委员会（中国河北自由贸易试验区大兴机场片区廊坊管理委员会）职能配置、内设机构和人员编制规定的通知》，根据《廊坊临空经济区2021年工作总结及2022年工作谋划情况的汇报》。2022年北京大兴国际机场临空经济区</w:t>
      </w:r>
      <w:r>
        <w:rPr>
          <w:rFonts w:hint="eastAsia"/>
          <w:lang w:eastAsia="zh-CN"/>
        </w:rPr>
        <w:t>（</w:t>
      </w:r>
      <w:r>
        <w:rPr>
          <w:rFonts w:hint="eastAsia"/>
        </w:rPr>
        <w:t>廊坊</w:t>
      </w:r>
      <w:r>
        <w:rPr>
          <w:rFonts w:hint="eastAsia"/>
          <w:lang w:eastAsia="zh-CN"/>
        </w:rPr>
        <w:t>）</w:t>
      </w:r>
      <w:r>
        <w:rPr>
          <w:rFonts w:hint="eastAsia"/>
        </w:rPr>
        <w:t>管理委员会总体发展目标是：一、深化规划设计，加速片区复合开发，打造全域覆盖、分层管理、分类指导的规划管控导则体系、精准配套市政基础设施和公共服务设施、域内域外联动，实现职住平衡。二、完善配套设施，加快市政公服建设。对标雄安新区建设理念，把每个集中配套区域都打造成为功能齐备的复合型片区、完善域内配套设施建设、优化对外交通体系，强化临空经济区与市主城区交通联系、提升教育医疗品质，打造临空特色教育品牌。三、加大项目招引，促进产业集约集群。细化支持政策，落实创新支撑体系、坚持“走出去”与“引进来”相结合，线上与线下招商相结合，丰富招商形式创新招商思路，拓宽招商渠道，完善招商机制、进一步加快产业项目建设。四、强化京冀联动，扩大对外开放平台。持续开展制度创新工作，加快推进自贸区建设、加快推进综保区建设，打造世界一流综保区。五、强化要素保障，推进体制机制改革。加强干部人才保障，坚持党的领导，突出政治标准，全面加强干部人才队伍建设、开展用人机制和薪酬体制改革，形成与现代化国际化园区治理需求相匹配的管理体系、优化营商环境、做好土地要素保障、做好资金要素保障。</w:t>
      </w:r>
    </w:p>
    <w:p>
      <w:pPr>
        <w:pStyle w:val="13"/>
        <w:bidi w:val="0"/>
      </w:pPr>
      <w:r>
        <w:rPr>
          <w:rFonts w:hint="eastAsia"/>
        </w:rPr>
        <w:t>（二）分项绩效目标</w:t>
      </w:r>
    </w:p>
    <w:p>
      <w:pPr>
        <w:pStyle w:val="13"/>
        <w:bidi w:val="0"/>
        <w:rPr>
          <w:rFonts w:hint="eastAsia"/>
        </w:rPr>
      </w:pPr>
      <w:r>
        <w:rPr>
          <w:rFonts w:hint="eastAsia"/>
        </w:rPr>
        <w:t>（一）完成海绵城市建设全过程技术咨询工作</w:t>
      </w:r>
    </w:p>
    <w:p>
      <w:pPr>
        <w:pStyle w:val="13"/>
        <w:bidi w:val="0"/>
        <w:rPr>
          <w:rFonts w:hint="eastAsia"/>
        </w:rPr>
      </w:pPr>
      <w:r>
        <w:rPr>
          <w:rFonts w:hint="eastAsia"/>
        </w:rPr>
        <w:t>绩效目标：为了协助临空经济区海绵城市管理工作，更好地落实临空经济区海绵城市建设指标，推进海绵城市建设。</w:t>
      </w:r>
    </w:p>
    <w:p>
      <w:pPr>
        <w:pStyle w:val="13"/>
        <w:bidi w:val="0"/>
        <w:rPr>
          <w:rFonts w:hint="eastAsia"/>
        </w:rPr>
      </w:pPr>
      <w:r>
        <w:rPr>
          <w:rFonts w:hint="eastAsia"/>
        </w:rPr>
        <w:t>绩效指标：海绵城市建设全过程技术咨询服务用地面积约200万平方米，在规定时间内完成全过程技术咨询。</w:t>
      </w:r>
    </w:p>
    <w:p>
      <w:pPr>
        <w:pStyle w:val="13"/>
        <w:bidi w:val="0"/>
        <w:rPr>
          <w:rFonts w:hint="eastAsia"/>
        </w:rPr>
      </w:pPr>
      <w:r>
        <w:rPr>
          <w:rFonts w:hint="eastAsia"/>
        </w:rPr>
        <w:t>（二）完成规划管控导则体系编制工作</w:t>
      </w:r>
    </w:p>
    <w:p>
      <w:pPr>
        <w:pStyle w:val="13"/>
        <w:bidi w:val="0"/>
        <w:rPr>
          <w:rFonts w:hint="eastAsia"/>
        </w:rPr>
      </w:pPr>
      <w:r>
        <w:rPr>
          <w:rFonts w:hint="eastAsia"/>
        </w:rPr>
        <w:t>绩效目标：完成规划控制导则体系编制，形成启动区内所有地块的规划条件及配套参数要求。</w:t>
      </w:r>
    </w:p>
    <w:p>
      <w:pPr>
        <w:pStyle w:val="13"/>
        <w:bidi w:val="0"/>
        <w:rPr>
          <w:rFonts w:hint="eastAsia"/>
        </w:rPr>
      </w:pPr>
      <w:r>
        <w:rPr>
          <w:rFonts w:hint="eastAsia"/>
        </w:rPr>
        <w:t>绩效指标：根据实际工作情况需要，规划编制方案成果8套；临空经济区管委会规划建设局组织专家对编制方案进行评审，专家评审通过率达到100%；合理安排生态管控、交通管控、综合防灾等方面的的规划建设时序；及时支付业务经费1000.00万元。</w:t>
      </w:r>
    </w:p>
    <w:p>
      <w:pPr>
        <w:pStyle w:val="13"/>
        <w:bidi w:val="0"/>
        <w:rPr>
          <w:rFonts w:hint="eastAsia"/>
        </w:rPr>
      </w:pPr>
      <w:r>
        <w:rPr>
          <w:rFonts w:hint="eastAsia"/>
        </w:rPr>
        <w:t>(三)完成启动区详细城市设计编制工作</w:t>
      </w:r>
    </w:p>
    <w:p>
      <w:pPr>
        <w:pStyle w:val="13"/>
        <w:bidi w:val="0"/>
        <w:rPr>
          <w:rFonts w:hint="eastAsia"/>
        </w:rPr>
      </w:pPr>
      <w:r>
        <w:rPr>
          <w:rFonts w:hint="eastAsia"/>
        </w:rPr>
        <w:t>绩效目标：完成启动区详细城市设计编制，形成启动区24项城市设计导则成果及启动区城市设计图则。</w:t>
      </w:r>
    </w:p>
    <w:p>
      <w:pPr>
        <w:pStyle w:val="13"/>
        <w:bidi w:val="0"/>
        <w:rPr>
          <w:rFonts w:hint="eastAsia"/>
        </w:rPr>
      </w:pPr>
      <w:r>
        <w:rPr>
          <w:rFonts w:hint="eastAsia"/>
        </w:rPr>
        <w:t>绩效指标：根据实际工作情况需要，规划编制方案成果8套；依照合同约定时间提交成果及时率达到100%；促进项目落地，进行包含城市总体区域空间效果控制、城市公共空间可视化效果控制、城市地块内部风貌导则立体化表达控制等精细化城市设计工作顺利完成；及时支付业务经费1500.00万元。</w:t>
      </w:r>
    </w:p>
    <w:p>
      <w:pPr>
        <w:pStyle w:val="13"/>
        <w:bidi w:val="0"/>
        <w:rPr>
          <w:rFonts w:hint="eastAsia"/>
        </w:rPr>
      </w:pPr>
      <w:r>
        <w:rPr>
          <w:rFonts w:hint="eastAsia"/>
        </w:rPr>
        <w:t>（四）完成综合执法技术服务专项工作</w:t>
      </w:r>
    </w:p>
    <w:p>
      <w:pPr>
        <w:pStyle w:val="13"/>
        <w:bidi w:val="0"/>
        <w:rPr>
          <w:rFonts w:hint="eastAsia"/>
        </w:rPr>
      </w:pPr>
      <w:r>
        <w:rPr>
          <w:rFonts w:hint="eastAsia"/>
        </w:rPr>
        <w:t>绩效目标：充分履行综合执法局在土地卫片执法、食品安全执法、安全生产执法领域的工作职能，为廊坊临空经济区的快速稳健发展保驾护航。</w:t>
      </w:r>
    </w:p>
    <w:p>
      <w:pPr>
        <w:pStyle w:val="13"/>
        <w:bidi w:val="0"/>
        <w:rPr>
          <w:rFonts w:hint="eastAsia"/>
        </w:rPr>
      </w:pPr>
      <w:r>
        <w:rPr>
          <w:rFonts w:hint="eastAsia"/>
        </w:rPr>
        <w:t>绩效指标：完成土地执法内业套核工作，进行建设用地图斑核查15000亩，完成食品安全抽检20次，通过有效执法，避免发生国土资源损失、安全生产、食品安全等事件造成经济损失。</w:t>
      </w:r>
    </w:p>
    <w:p>
      <w:pPr>
        <w:pStyle w:val="13"/>
        <w:bidi w:val="0"/>
        <w:rPr>
          <w:rFonts w:hint="eastAsia"/>
        </w:rPr>
      </w:pPr>
      <w:r>
        <w:rPr>
          <w:rFonts w:hint="eastAsia"/>
        </w:rPr>
        <w:t>（五）完成消防站开办工作</w:t>
      </w:r>
    </w:p>
    <w:p>
      <w:pPr>
        <w:pStyle w:val="13"/>
        <w:bidi w:val="0"/>
        <w:rPr>
          <w:rFonts w:hint="eastAsia"/>
        </w:rPr>
      </w:pPr>
      <w:r>
        <w:rPr>
          <w:rFonts w:hint="eastAsia"/>
        </w:rPr>
        <w:t>绩效目标：完成消防车辆器材装备、生活办公用配套设施的购置和人员招聘上岗，初步保证消防站日常的正常运转。</w:t>
      </w:r>
    </w:p>
    <w:p>
      <w:pPr>
        <w:pStyle w:val="13"/>
        <w:bidi w:val="0"/>
        <w:rPr>
          <w:rFonts w:hint="eastAsia"/>
        </w:rPr>
      </w:pPr>
      <w:r>
        <w:rPr>
          <w:rFonts w:hint="eastAsia"/>
        </w:rPr>
        <w:t>绩效指标：完成6辆消防车辆购置，依据实际需求购置消防装备器材，保证各项购置设备物资质量合格；保证消防队员对于所采购消防车辆及设备的满意度达90%以上。</w:t>
      </w:r>
    </w:p>
    <w:p>
      <w:pPr>
        <w:pStyle w:val="13"/>
        <w:bidi w:val="0"/>
        <w:rPr>
          <w:rFonts w:hint="eastAsia"/>
        </w:rPr>
      </w:pPr>
      <w:r>
        <w:rPr>
          <w:rFonts w:hint="eastAsia"/>
        </w:rPr>
        <w:t>（六）完成巡查防控工作</w:t>
      </w:r>
    </w:p>
    <w:p>
      <w:pPr>
        <w:pStyle w:val="13"/>
        <w:bidi w:val="0"/>
        <w:rPr>
          <w:rFonts w:hint="eastAsia"/>
        </w:rPr>
      </w:pPr>
      <w:r>
        <w:rPr>
          <w:rFonts w:hint="eastAsia"/>
        </w:rPr>
        <w:t>绩效目标：通过巡查防控工作的顺利开展，提升市容环境、减少安全隐患，建立生态环境分区管控体系，打造一批具有典型示范意义的亮点街区，积极创建省级“美丽街区”“精品街道”和“人居环境奖”。</w:t>
      </w:r>
    </w:p>
    <w:p>
      <w:pPr>
        <w:pStyle w:val="13"/>
        <w:bidi w:val="0"/>
        <w:rPr>
          <w:rFonts w:hint="eastAsia"/>
        </w:rPr>
      </w:pPr>
      <w:r>
        <w:rPr>
          <w:rFonts w:hint="eastAsia"/>
        </w:rPr>
        <w:t>绩效指标：保障防火面积约53平方公里，清理违规占道1500余处，达到市容检查覆盖率95%以上，提升临空经济区市容管理水平，及时完成并支付资金805.8万元。</w:t>
      </w:r>
    </w:p>
    <w:p>
      <w:pPr>
        <w:pStyle w:val="13"/>
        <w:bidi w:val="0"/>
        <w:rPr>
          <w:rFonts w:hint="eastAsia"/>
        </w:rPr>
      </w:pPr>
      <w:r>
        <w:rPr>
          <w:rFonts w:hint="eastAsia"/>
        </w:rPr>
        <w:t>（七）完成综合保税区（一期）预验收、正式验收工作</w:t>
      </w:r>
    </w:p>
    <w:p>
      <w:pPr>
        <w:pStyle w:val="13"/>
        <w:bidi w:val="0"/>
        <w:rPr>
          <w:rFonts w:hint="eastAsia"/>
        </w:rPr>
      </w:pPr>
      <w:r>
        <w:rPr>
          <w:rFonts w:hint="eastAsia"/>
        </w:rPr>
        <w:t>绩效目标：保障大兴国际机场综合保税区预验收、正式验收工作顺利开展，确保验收工作圆满完成。</w:t>
      </w:r>
    </w:p>
    <w:p>
      <w:pPr>
        <w:pStyle w:val="13"/>
        <w:bidi w:val="0"/>
        <w:rPr>
          <w:rFonts w:hint="eastAsia"/>
        </w:rPr>
      </w:pPr>
      <w:r>
        <w:rPr>
          <w:rFonts w:hint="eastAsia"/>
        </w:rPr>
        <w:t>绩效指标：保证验收预验收两次验收活动顺利完成，通过综合保税区（一期）预验收、正式验收工作顺利开展，进行政策宣传，不断扩大社会影响力。拉动临空区经济效益增长。及时支付项目资金111.51万元。</w:t>
      </w:r>
    </w:p>
    <w:p>
      <w:pPr>
        <w:pStyle w:val="13"/>
        <w:bidi w:val="0"/>
        <w:rPr>
          <w:rFonts w:hint="eastAsia"/>
        </w:rPr>
      </w:pPr>
      <w:r>
        <w:rPr>
          <w:rFonts w:hint="eastAsia"/>
        </w:rPr>
        <w:t>（八）完成制度创新综合研究工作</w:t>
      </w:r>
    </w:p>
    <w:p>
      <w:pPr>
        <w:pStyle w:val="13"/>
        <w:bidi w:val="0"/>
        <w:rPr>
          <w:rFonts w:hint="eastAsia"/>
        </w:rPr>
      </w:pPr>
      <w:r>
        <w:rPr>
          <w:rFonts w:hint="eastAsia"/>
        </w:rPr>
        <w:t>绩效目标：研究制定片区年度重点工作任务、协助廊坊片区开展年度考核评估、开展片区制度创新案例编写、常态政策技术支持、协助引入重点企业、聚焦重点发展产业协助制定一场产业高质量论坛的活动方案等综合工作。</w:t>
      </w:r>
    </w:p>
    <w:p>
      <w:pPr>
        <w:pStyle w:val="13"/>
        <w:bidi w:val="0"/>
        <w:rPr>
          <w:rFonts w:hint="eastAsia"/>
        </w:rPr>
      </w:pPr>
      <w:r>
        <w:rPr>
          <w:rFonts w:hint="eastAsia"/>
        </w:rPr>
        <w:t>绩效指标：开展片区制度创新案例编写10个，计划协助引入重点企业约10个，通过业务拉动临空区经济发展，扩大临空区影响力。</w:t>
      </w:r>
    </w:p>
    <w:p>
      <w:pPr>
        <w:pStyle w:val="13"/>
        <w:bidi w:val="0"/>
        <w:rPr>
          <w:rFonts w:hint="eastAsia"/>
        </w:rPr>
      </w:pPr>
      <w:r>
        <w:rPr>
          <w:rFonts w:hint="eastAsia"/>
        </w:rPr>
        <w:t>（九）完成城市环境综合整治提升年活动工作</w:t>
      </w:r>
    </w:p>
    <w:p>
      <w:pPr>
        <w:pStyle w:val="13"/>
        <w:bidi w:val="0"/>
        <w:rPr>
          <w:rFonts w:hint="eastAsia"/>
        </w:rPr>
      </w:pPr>
      <w:r>
        <w:rPr>
          <w:rFonts w:hint="eastAsia"/>
        </w:rPr>
        <w:t>绩效目标：提升城市综合竞争力，改善城市形象、擦亮城市名片、规范市容秩序。全力塑造整洁优美的城市的环境和良好的对外形象。助力建设世界一流航空城。</w:t>
      </w:r>
    </w:p>
    <w:p>
      <w:pPr>
        <w:pStyle w:val="13"/>
        <w:bidi w:val="0"/>
        <w:rPr>
          <w:rFonts w:hint="eastAsia"/>
        </w:rPr>
      </w:pPr>
      <w:r>
        <w:rPr>
          <w:rFonts w:hint="eastAsia"/>
        </w:rPr>
        <w:t>绩效指标：建设农贸市场约4处，提升绿化面积，盘活闲置地块，提高临空区绿化美化率，按照临空区要求完成各项工作，及时支付项目资金480.33万元。</w:t>
      </w:r>
    </w:p>
    <w:p>
      <w:pPr>
        <w:pStyle w:val="13"/>
        <w:bidi w:val="0"/>
        <w:rPr>
          <w:rFonts w:hint="eastAsia"/>
        </w:rPr>
      </w:pPr>
      <w:r>
        <w:rPr>
          <w:rFonts w:hint="eastAsia"/>
        </w:rPr>
        <w:t>(十)完成临空管委会档案标准化管理及运行工作</w:t>
      </w:r>
    </w:p>
    <w:p>
      <w:pPr>
        <w:pStyle w:val="13"/>
        <w:bidi w:val="0"/>
        <w:rPr>
          <w:rFonts w:hint="eastAsia"/>
        </w:rPr>
      </w:pPr>
      <w:r>
        <w:rPr>
          <w:rFonts w:hint="eastAsia"/>
        </w:rPr>
        <w:t>绩效目标：通过项目的开展完成基础档案数据建设项目，实现北京大兴国际机场临空经济区（廊坊）管理委员会档案的信息化建设，提高档案利用效率。</w:t>
      </w:r>
    </w:p>
    <w:p>
      <w:pPr>
        <w:pStyle w:val="13"/>
        <w:bidi w:val="0"/>
        <w:rPr>
          <w:rFonts w:hint="eastAsia"/>
        </w:rPr>
      </w:pPr>
      <w:r>
        <w:rPr>
          <w:rFonts w:hint="eastAsia"/>
        </w:rPr>
        <w:t>绩效指标：购进国产化档案管理系统数量1套。装订扫描档案数量达到32万页以上，保证购进设备质量合格率达到100%。及时支付购进国产化档案管理系统和服务器设备、原文数据库制作、档案扫描等相关费用100万元。</w:t>
      </w:r>
    </w:p>
    <w:p>
      <w:pPr>
        <w:pStyle w:val="13"/>
        <w:bidi w:val="0"/>
        <w:rPr>
          <w:rFonts w:hint="eastAsia"/>
        </w:rPr>
      </w:pPr>
      <w:r>
        <w:rPr>
          <w:rFonts w:hint="eastAsia"/>
        </w:rPr>
        <w:t>（十一）</w:t>
      </w:r>
      <w:r>
        <w:rPr>
          <w:rFonts w:hint="eastAsia"/>
          <w:lang w:eastAsia="zh-CN"/>
        </w:rPr>
        <w:t>完成</w:t>
      </w:r>
      <w:r>
        <w:rPr>
          <w:rFonts w:hint="eastAsia"/>
        </w:rPr>
        <w:t>机场回迁区九年一贯制学校开办工作</w:t>
      </w:r>
    </w:p>
    <w:p>
      <w:pPr>
        <w:pStyle w:val="13"/>
        <w:bidi w:val="0"/>
        <w:rPr>
          <w:rFonts w:hint="eastAsia"/>
        </w:rPr>
      </w:pPr>
      <w:r>
        <w:rPr>
          <w:rFonts w:hint="eastAsia"/>
        </w:rPr>
        <w:t>绩效目标：加快临空经济区配套公务设施建设，解决学校正常运转、师生在校安全、教师培训等问题。</w:t>
      </w:r>
    </w:p>
    <w:p>
      <w:pPr>
        <w:pStyle w:val="13"/>
        <w:bidi w:val="0"/>
        <w:rPr>
          <w:rFonts w:hint="eastAsia"/>
        </w:rPr>
      </w:pPr>
      <w:r>
        <w:rPr>
          <w:rFonts w:hint="eastAsia"/>
        </w:rPr>
        <w:t>绩效指标：临空经济区九年一贯制学校即将完成投入使用，完成22间教室配套装备的设置工作，于2022年9月完成配套工作。通过开展本项目为社会培养合格的后备人才奠定基础。及时支付智慧校园、厨房、校园文化、办公设备、办公经费等各项相关费用3831.38万元。</w:t>
      </w:r>
    </w:p>
    <w:p>
      <w:pPr>
        <w:pStyle w:val="13"/>
        <w:bidi w:val="0"/>
        <w:rPr>
          <w:rFonts w:hint="eastAsia"/>
        </w:rPr>
      </w:pPr>
      <w:r>
        <w:rPr>
          <w:rFonts w:hint="eastAsia"/>
        </w:rPr>
        <w:t>（十</w:t>
      </w:r>
      <w:r>
        <w:rPr>
          <w:rFonts w:hint="eastAsia"/>
          <w:lang w:eastAsia="zh-CN"/>
        </w:rPr>
        <w:t>二</w:t>
      </w:r>
      <w:r>
        <w:rPr>
          <w:rFonts w:hint="eastAsia"/>
        </w:rPr>
        <w:t>）完成临空经济区临空一中开办工作</w:t>
      </w:r>
    </w:p>
    <w:p>
      <w:pPr>
        <w:pStyle w:val="13"/>
        <w:bidi w:val="0"/>
        <w:rPr>
          <w:rFonts w:hint="eastAsia"/>
        </w:rPr>
      </w:pPr>
      <w:r>
        <w:rPr>
          <w:rFonts w:hint="eastAsia"/>
        </w:rPr>
        <w:t>绩效目标：保证临空经济区临空一中顺利投入使用及正常运转。</w:t>
      </w:r>
    </w:p>
    <w:p>
      <w:pPr>
        <w:pStyle w:val="13"/>
        <w:bidi w:val="0"/>
        <w:rPr>
          <w:rFonts w:hint="eastAsia"/>
        </w:rPr>
      </w:pPr>
      <w:r>
        <w:rPr>
          <w:rFonts w:hint="eastAsia"/>
        </w:rPr>
        <w:t>绩效指标：临空经济区临空一中即将完成投入使用，完成26间教室配套装备的设置工作，于2022年9月完成配套工作。各项设备标准符合基本办学标准及相关政策。及时支付智慧校园、厨房、校园文化、办公设备、办公经费等各项相关费用2452.33万元。</w:t>
      </w:r>
    </w:p>
    <w:p>
      <w:pPr>
        <w:pStyle w:val="13"/>
        <w:bidi w:val="0"/>
        <w:rPr>
          <w:rFonts w:hint="eastAsia"/>
        </w:rPr>
      </w:pPr>
      <w:r>
        <w:rPr>
          <w:rFonts w:hint="eastAsia"/>
        </w:rPr>
        <w:t>（十</w:t>
      </w:r>
      <w:r>
        <w:rPr>
          <w:rFonts w:hint="eastAsia"/>
          <w:lang w:eastAsia="zh-CN"/>
        </w:rPr>
        <w:t>三</w:t>
      </w:r>
      <w:r>
        <w:rPr>
          <w:rFonts w:hint="eastAsia"/>
        </w:rPr>
        <w:t>）完成临空经济区临空24班小学开办工作</w:t>
      </w:r>
    </w:p>
    <w:p>
      <w:pPr>
        <w:pStyle w:val="13"/>
        <w:bidi w:val="0"/>
        <w:rPr>
          <w:rFonts w:hint="eastAsia"/>
        </w:rPr>
      </w:pPr>
      <w:r>
        <w:rPr>
          <w:rFonts w:hint="eastAsia"/>
        </w:rPr>
        <w:t>绩效目标：保证临空经济区学校顺利投入使用及正常运转。</w:t>
      </w:r>
    </w:p>
    <w:p>
      <w:pPr>
        <w:pStyle w:val="13"/>
        <w:bidi w:val="0"/>
        <w:rPr>
          <w:rFonts w:hint="eastAsia"/>
        </w:rPr>
      </w:pPr>
      <w:r>
        <w:rPr>
          <w:rFonts w:hint="eastAsia"/>
        </w:rPr>
        <w:t>绩效指标：为临空经济区起步区临空24班小学即将完成投入使用。完成22间教室配套装备的设置工作，于2022年9月完成配套工作。各项设备标准符合基本办学标准及相关政策。及时支付智慧校园、厨房、校园文化、办公设备、办公经费等各项相关费用1809.95万元。</w:t>
      </w:r>
    </w:p>
    <w:p>
      <w:pPr>
        <w:pStyle w:val="13"/>
        <w:bidi w:val="0"/>
        <w:rPr>
          <w:rFonts w:hint="eastAsia"/>
        </w:rPr>
      </w:pPr>
      <w:r>
        <w:rPr>
          <w:rFonts w:hint="eastAsia"/>
        </w:rPr>
        <w:t>（十</w:t>
      </w:r>
      <w:r>
        <w:rPr>
          <w:rFonts w:hint="eastAsia"/>
          <w:lang w:eastAsia="zh-CN"/>
        </w:rPr>
        <w:t>四</w:t>
      </w:r>
      <w:r>
        <w:rPr>
          <w:rFonts w:hint="eastAsia"/>
        </w:rPr>
        <w:t>）完成机场回迁区幼儿园开办工作</w:t>
      </w:r>
    </w:p>
    <w:p>
      <w:pPr>
        <w:pStyle w:val="13"/>
        <w:bidi w:val="0"/>
        <w:rPr>
          <w:rFonts w:hint="eastAsia"/>
        </w:rPr>
      </w:pPr>
      <w:r>
        <w:rPr>
          <w:rFonts w:hint="eastAsia"/>
        </w:rPr>
        <w:t>绩效目标：确保服务范围内适龄儿童入学。</w:t>
      </w:r>
    </w:p>
    <w:p>
      <w:pPr>
        <w:pStyle w:val="13"/>
        <w:bidi w:val="0"/>
        <w:rPr>
          <w:rFonts w:hint="eastAsia"/>
        </w:rPr>
      </w:pPr>
      <w:r>
        <w:rPr>
          <w:rFonts w:hint="eastAsia"/>
        </w:rPr>
        <w:t>绩效指标：为加快临空经济区配套设施建设，解决服务范围内适龄儿童入学问题，机场回迁区幼儿园项目即将完成。完成6间教室配套装备的设置工作，各项设备标准符合基本办学标准及相关政策。及时支付设备购置、装修、物业服务、办公经费等相关费用686.28万元。</w:t>
      </w:r>
    </w:p>
    <w:p>
      <w:pPr>
        <w:pStyle w:val="13"/>
        <w:bidi w:val="0"/>
        <w:rPr>
          <w:rFonts w:hint="eastAsia"/>
        </w:rPr>
      </w:pPr>
      <w:r>
        <w:rPr>
          <w:rFonts w:hint="eastAsia"/>
        </w:rPr>
        <w:t>（十</w:t>
      </w:r>
      <w:r>
        <w:rPr>
          <w:rFonts w:hint="eastAsia"/>
          <w:lang w:eastAsia="zh-CN"/>
        </w:rPr>
        <w:t>五</w:t>
      </w:r>
      <w:r>
        <w:rPr>
          <w:rFonts w:hint="eastAsia"/>
        </w:rPr>
        <w:t>）完成疫情防控工作</w:t>
      </w:r>
    </w:p>
    <w:p>
      <w:pPr>
        <w:pStyle w:val="13"/>
        <w:bidi w:val="0"/>
        <w:rPr>
          <w:rFonts w:hint="eastAsia"/>
        </w:rPr>
      </w:pPr>
      <w:r>
        <w:rPr>
          <w:rFonts w:hint="eastAsia"/>
        </w:rPr>
        <w:t>绩效目标：降低新冠肺炎感染风险，保障临空经济区内无感染新冠肺炎病例，如有输入病例确保不扩散。</w:t>
      </w:r>
    </w:p>
    <w:p>
      <w:pPr>
        <w:pStyle w:val="13"/>
        <w:bidi w:val="0"/>
        <w:rPr>
          <w:rFonts w:hint="eastAsia"/>
        </w:rPr>
      </w:pPr>
      <w:r>
        <w:rPr>
          <w:rFonts w:hint="eastAsia"/>
        </w:rPr>
        <w:t>绩效指标：疫情防控工作是常态化工作，坚决打好疫情防控攻坚战。本项目保证超5000人次参与核酸检测，及时购进约300桶医用酒精、约400件防护服等防疫物资。及时支付核酸检测、防控设备购置、防护物资及防疫物资购买等相关费用88.28万元。</w:t>
      </w:r>
    </w:p>
    <w:p>
      <w:pPr>
        <w:pStyle w:val="13"/>
        <w:bidi w:val="0"/>
        <w:rPr>
          <w:rFonts w:hint="eastAsia"/>
        </w:rPr>
      </w:pPr>
      <w:r>
        <w:rPr>
          <w:rFonts w:hint="eastAsia"/>
        </w:rPr>
        <w:t>（十</w:t>
      </w:r>
      <w:r>
        <w:rPr>
          <w:rFonts w:hint="eastAsia"/>
          <w:lang w:eastAsia="zh-CN"/>
        </w:rPr>
        <w:t>六</w:t>
      </w:r>
      <w:r>
        <w:rPr>
          <w:rFonts w:hint="eastAsia"/>
        </w:rPr>
        <w:t>）完成智慧办税设备购置工作</w:t>
      </w:r>
    </w:p>
    <w:p>
      <w:pPr>
        <w:pStyle w:val="13"/>
        <w:bidi w:val="0"/>
        <w:rPr>
          <w:rFonts w:hint="eastAsia"/>
        </w:rPr>
      </w:pPr>
      <w:r>
        <w:rPr>
          <w:rFonts w:hint="eastAsia"/>
        </w:rPr>
        <w:t>绩效目标：确保临空税务征收厅能够正常建立并投入使用，为临空企业办理业务提供便利。</w:t>
      </w:r>
    </w:p>
    <w:p>
      <w:pPr>
        <w:pStyle w:val="13"/>
        <w:bidi w:val="0"/>
        <w:rPr>
          <w:rFonts w:hint="eastAsia"/>
        </w:rPr>
      </w:pPr>
      <w:r>
        <w:rPr>
          <w:rFonts w:hint="eastAsia"/>
        </w:rPr>
        <w:t>绩效指标：根据实际工作情况需要，设备购买数量6台，购置设备合格率设备到位率达到100%，优化税收环境，提高政务服务水平，及时支付智慧办税设备购置资金32万元。</w:t>
      </w:r>
    </w:p>
    <w:p>
      <w:pPr>
        <w:pStyle w:val="13"/>
        <w:bidi w:val="0"/>
        <w:rPr>
          <w:rFonts w:hint="eastAsia"/>
        </w:rPr>
      </w:pPr>
      <w:r>
        <w:rPr>
          <w:rFonts w:hint="eastAsia"/>
        </w:rPr>
        <w:t>（十</w:t>
      </w:r>
      <w:r>
        <w:rPr>
          <w:rFonts w:hint="eastAsia"/>
          <w:lang w:eastAsia="zh-CN"/>
        </w:rPr>
        <w:t>七</w:t>
      </w:r>
      <w:r>
        <w:rPr>
          <w:rFonts w:hint="eastAsia"/>
        </w:rPr>
        <w:t>）完成市政环卫运行业务工作</w:t>
      </w:r>
    </w:p>
    <w:p>
      <w:pPr>
        <w:pStyle w:val="13"/>
        <w:bidi w:val="0"/>
        <w:rPr>
          <w:rFonts w:hint="eastAsia"/>
        </w:rPr>
      </w:pPr>
      <w:r>
        <w:rPr>
          <w:rFonts w:hint="eastAsia"/>
        </w:rPr>
        <w:t>绩效目标：区域内环境卫生质量达到“洁净城市”标准，公共机构垃圾分类全覆盖。</w:t>
      </w:r>
    </w:p>
    <w:p>
      <w:pPr>
        <w:pStyle w:val="13"/>
        <w:bidi w:val="0"/>
        <w:rPr>
          <w:rFonts w:hint="eastAsia"/>
        </w:rPr>
      </w:pPr>
      <w:r>
        <w:rPr>
          <w:rFonts w:hint="eastAsia"/>
        </w:rPr>
        <w:t>绩效指标：根据实际工作情况需要，道路清扫保洁面积1267745平方米，管理公厕数量3个，道路清扫每日作业次数大于1次，区域环境卫生质量达标，市容环境整洁，垃圾分类有序，及时支环卫作业经费1262.02万元。</w:t>
      </w:r>
    </w:p>
    <w:p>
      <w:pPr>
        <w:pStyle w:val="13"/>
        <w:bidi w:val="0"/>
        <w:rPr>
          <w:rFonts w:hint="eastAsia"/>
        </w:rPr>
      </w:pPr>
      <w:r>
        <w:rPr>
          <w:rFonts w:hint="eastAsia"/>
        </w:rPr>
        <w:t>（十</w:t>
      </w:r>
      <w:r>
        <w:rPr>
          <w:rFonts w:hint="eastAsia"/>
          <w:lang w:eastAsia="zh-CN"/>
        </w:rPr>
        <w:t>八</w:t>
      </w:r>
      <w:r>
        <w:rPr>
          <w:rFonts w:hint="eastAsia"/>
        </w:rPr>
        <w:t>）完成市容市貌提升工作</w:t>
      </w:r>
    </w:p>
    <w:p>
      <w:pPr>
        <w:pStyle w:val="13"/>
        <w:bidi w:val="0"/>
        <w:rPr>
          <w:rFonts w:hint="eastAsia"/>
        </w:rPr>
      </w:pPr>
      <w:r>
        <w:rPr>
          <w:rFonts w:hint="eastAsia"/>
        </w:rPr>
        <w:t>绩效目标：通过项目的开展打造具有临空特色的园林景观风貌，确保园林项目高效有序开展并顺利完成，助力临空经济区门户景观，营造节日气氛，提升区域内人民及工作人员幸福指数。</w:t>
      </w:r>
    </w:p>
    <w:p>
      <w:pPr>
        <w:pStyle w:val="13"/>
        <w:bidi w:val="0"/>
        <w:rPr>
          <w:rFonts w:hint="eastAsia"/>
        </w:rPr>
      </w:pPr>
      <w:r>
        <w:rPr>
          <w:rFonts w:hint="eastAsia"/>
        </w:rPr>
        <w:t>绩效指标：根据实际工作情况需要，节日美化项目摆放花卉种类大于等于23种，花卉总盆数</w:t>
      </w:r>
      <w:r>
        <w:rPr>
          <w:rFonts w:hint="eastAsia"/>
          <w:lang w:eastAsia="zh-CN"/>
        </w:rPr>
        <w:t>约</w:t>
      </w:r>
      <w:r>
        <w:rPr>
          <w:rFonts w:hint="eastAsia"/>
        </w:rPr>
        <w:t>112万盆，有效提升景观效果，提升环境质量，通过良好的景观效果，提升区域社会影响力。</w:t>
      </w:r>
    </w:p>
    <w:p>
      <w:pPr>
        <w:pStyle w:val="13"/>
        <w:bidi w:val="0"/>
        <w:rPr>
          <w:rFonts w:hint="eastAsia"/>
        </w:rPr>
      </w:pPr>
      <w:r>
        <w:rPr>
          <w:rFonts w:hint="eastAsia"/>
        </w:rPr>
        <w:t>（</w:t>
      </w:r>
      <w:r>
        <w:rPr>
          <w:rFonts w:hint="eastAsia"/>
          <w:lang w:eastAsia="zh-CN"/>
        </w:rPr>
        <w:t>十九</w:t>
      </w:r>
      <w:r>
        <w:rPr>
          <w:rFonts w:hint="eastAsia"/>
        </w:rPr>
        <w:t>）完成产业综合服务体系编制工作</w:t>
      </w:r>
    </w:p>
    <w:p>
      <w:pPr>
        <w:pStyle w:val="13"/>
        <w:bidi w:val="0"/>
        <w:rPr>
          <w:rFonts w:hint="eastAsia"/>
        </w:rPr>
      </w:pPr>
      <w:r>
        <w:rPr>
          <w:rFonts w:hint="eastAsia"/>
        </w:rPr>
        <w:t>绩效目标：完成临空经济区产业综合服务体系编制，形成临空经济区产业综合服务体系建设导则、临空经济区产业综合服务网格化管理体系办法、临空经济区产业综合服务品牌打造方案。</w:t>
      </w:r>
    </w:p>
    <w:p>
      <w:pPr>
        <w:pStyle w:val="13"/>
        <w:bidi w:val="0"/>
        <w:rPr>
          <w:rFonts w:hint="eastAsia"/>
        </w:rPr>
      </w:pPr>
      <w:r>
        <w:rPr>
          <w:rFonts w:hint="eastAsia"/>
        </w:rPr>
        <w:t>绩效指标：形成产业综合服务体系形成产业综合服务体系报告3件，及时完成体系编制工作，项目总成本小于200万元，保证廊坊临空经济区产业发展可持续高质量。</w:t>
      </w:r>
    </w:p>
    <w:p>
      <w:pPr>
        <w:pStyle w:val="13"/>
        <w:bidi w:val="0"/>
        <w:rPr>
          <w:rFonts w:hint="eastAsia"/>
        </w:rPr>
      </w:pPr>
      <w:r>
        <w:rPr>
          <w:rFonts w:hint="eastAsia"/>
        </w:rPr>
        <w:t>（二十）完成基于CIM的城市地下市政基础设施管理信息系统建设工作</w:t>
      </w:r>
    </w:p>
    <w:p>
      <w:pPr>
        <w:pStyle w:val="13"/>
        <w:bidi w:val="0"/>
        <w:rPr>
          <w:rFonts w:hint="eastAsia"/>
        </w:rPr>
      </w:pPr>
      <w:r>
        <w:rPr>
          <w:rFonts w:hint="eastAsia"/>
        </w:rPr>
        <w:t>绩效目标：实现城市地下空间市政基础设施科学规划建设管理和智能决策水平，实现信息的共享与融合，可以及时、准确、全面地掌握城市地下空间基础设施的建设情况，引导政府规划管理向精确、高效、融合的方式转变，为领导科学决策、依法决策提供有力依据，整体提升政府的科学化管理水平和智能化决策水平。</w:t>
      </w:r>
    </w:p>
    <w:p>
      <w:pPr>
        <w:pStyle w:val="13"/>
        <w:bidi w:val="0"/>
        <w:rPr>
          <w:rFonts w:hint="eastAsia"/>
        </w:rPr>
      </w:pPr>
      <w:r>
        <w:rPr>
          <w:rFonts w:hint="eastAsia"/>
        </w:rPr>
        <w:t xml:space="preserve">绩效指标：数据采集汇聚量大于等于95%，子系统数量等于7个，软件质量合格率达到100%，满足设施规划建设、运行服务、智慧城市等三个单位数据共享需要。 </w:t>
      </w:r>
    </w:p>
    <w:p>
      <w:pPr>
        <w:pStyle w:val="13"/>
        <w:bidi w:val="0"/>
        <w:rPr>
          <w:rFonts w:hint="eastAsia"/>
        </w:rPr>
      </w:pPr>
      <w:r>
        <w:rPr>
          <w:rFonts w:hint="eastAsia"/>
        </w:rPr>
        <w:t>（二十</w:t>
      </w:r>
      <w:r>
        <w:rPr>
          <w:rFonts w:hint="eastAsia"/>
          <w:lang w:eastAsia="zh-CN"/>
        </w:rPr>
        <w:t>一</w:t>
      </w:r>
      <w:r>
        <w:rPr>
          <w:rFonts w:hint="eastAsia"/>
        </w:rPr>
        <w:t>）完成财政预算绩效管理机制工作</w:t>
      </w:r>
    </w:p>
    <w:p>
      <w:pPr>
        <w:pStyle w:val="13"/>
        <w:bidi w:val="0"/>
        <w:rPr>
          <w:rFonts w:hint="eastAsia"/>
        </w:rPr>
      </w:pPr>
      <w:r>
        <w:rPr>
          <w:rFonts w:hint="eastAsia"/>
        </w:rPr>
        <w:t>绩效目标：全面建成全方位、全过程、全覆盖的预算绩效管理体系；对临空经济区部门进行全覆盖培训，确保我区预算绩效管理水平整体提升，对我区不少于30个重点项目进行事前绩效评估、绩效目标审核、绩效执行监控、绩效预算评价进行全过程管理，将评估结果、审核结果、监控结果、评价结果应用到部门预算编制、调整与考核中。</w:t>
      </w:r>
    </w:p>
    <w:p>
      <w:pPr>
        <w:pStyle w:val="13"/>
        <w:bidi w:val="0"/>
      </w:pPr>
      <w:r>
        <w:rPr>
          <w:rFonts w:hint="eastAsia"/>
        </w:rPr>
        <w:t>绩效指标：辅导参加部门数量大于等于9个，全过程管理重点项目数量大于等于20个，预算绩效改革辅导标准控制小于128.73万元，投资评审成本控制小于30万元，提升业务保障能力情况。</w:t>
      </w:r>
    </w:p>
    <w:p>
      <w:pPr>
        <w:pStyle w:val="13"/>
        <w:bidi w:val="0"/>
      </w:pPr>
      <w:r>
        <w:rPr>
          <w:rFonts w:hint="eastAsia"/>
        </w:rPr>
        <w:t>（三）工作保障措施</w:t>
      </w:r>
    </w:p>
    <w:p>
      <w:pPr>
        <w:pStyle w:val="13"/>
        <w:bidi w:val="0"/>
        <w:rPr>
          <w:rFonts w:hint="eastAsia"/>
        </w:rPr>
      </w:pPr>
      <w:r>
        <w:rPr>
          <w:rFonts w:hint="eastAsia"/>
        </w:rPr>
        <w:t>1、完善制度建设</w:t>
      </w:r>
    </w:p>
    <w:p>
      <w:pPr>
        <w:pStyle w:val="13"/>
        <w:bidi w:val="0"/>
        <w:rPr>
          <w:rFonts w:hint="eastAsia"/>
        </w:rPr>
      </w:pPr>
      <w:r>
        <w:rPr>
          <w:rFonts w:hint="eastAsia"/>
        </w:rPr>
        <w:t>制定完善预算绩效管理制度，将预算绩效管理纳入预算绩效管理全过程。在编报专项支出预算时，要制定绩效目标，对新增项目超过10万元的项目要进行绩效评估。在预算执行过程中，要进行事中跟踪。项目执行完毕，要进行绩效评价。完善资金管理办法，包括收入管理制度、支出管理制度、采购管理制度、会计核算管理制度、会计监督管理制度、内部牵制管理制度、财产清查管理制度、专项资金管理制度、预决算公开制度。</w:t>
      </w:r>
    </w:p>
    <w:p>
      <w:pPr>
        <w:pStyle w:val="13"/>
        <w:bidi w:val="0"/>
        <w:rPr>
          <w:rFonts w:hint="eastAsia"/>
        </w:rPr>
      </w:pPr>
      <w:r>
        <w:rPr>
          <w:rFonts w:hint="eastAsia"/>
        </w:rPr>
        <w:t>2、加强支出管理</w:t>
      </w:r>
    </w:p>
    <w:p>
      <w:pPr>
        <w:pStyle w:val="13"/>
        <w:bidi w:val="0"/>
        <w:rPr>
          <w:rFonts w:hint="eastAsia"/>
        </w:rPr>
      </w:pPr>
      <w:r>
        <w:rPr>
          <w:rFonts w:hint="eastAsia"/>
        </w:rPr>
        <w:t>坚持先批后办、预算控制和重要财务支出事项重点审批控制原则。优化支出结构，精细编实预算，加快履行政府采购手续，尽快启动项目，及时支付资金，确保6月底前支出进度达到60%，10月底前达到90%。</w:t>
      </w:r>
    </w:p>
    <w:p>
      <w:pPr>
        <w:pStyle w:val="13"/>
        <w:bidi w:val="0"/>
        <w:rPr>
          <w:rFonts w:hint="eastAsia"/>
        </w:rPr>
      </w:pPr>
      <w:r>
        <w:rPr>
          <w:rFonts w:hint="eastAsia"/>
        </w:rPr>
        <w:t>3、加强绩效运行监控</w:t>
      </w:r>
    </w:p>
    <w:p>
      <w:pPr>
        <w:pStyle w:val="13"/>
        <w:bidi w:val="0"/>
        <w:rPr>
          <w:rFonts w:hint="eastAsia"/>
        </w:rPr>
      </w:pPr>
      <w:r>
        <w:rPr>
          <w:rFonts w:hint="eastAsia"/>
        </w:rPr>
        <w:t>在预算执行过程中，要进行事中跟踪，及时了解项目进展情况并与年初绩效目标进行对比分析，发现问题及时采取措施，确保绩效目标如期保质实现。</w:t>
      </w:r>
    </w:p>
    <w:p>
      <w:pPr>
        <w:pStyle w:val="13"/>
        <w:bidi w:val="0"/>
        <w:rPr>
          <w:rFonts w:hint="eastAsia"/>
        </w:rPr>
      </w:pPr>
      <w:r>
        <w:rPr>
          <w:rFonts w:hint="eastAsia"/>
        </w:rPr>
        <w:t>4、做好绩效自评</w:t>
      </w:r>
    </w:p>
    <w:p>
      <w:pPr>
        <w:pStyle w:val="13"/>
        <w:bidi w:val="0"/>
        <w:rPr>
          <w:rFonts w:hint="eastAsia"/>
        </w:rPr>
      </w:pPr>
      <w:r>
        <w:rPr>
          <w:rFonts w:hint="eastAsia"/>
        </w:rPr>
        <w:t>项目执行完毕，要根据年初制定绩效目标，进行绩效评价，主要评审专项资金管理执行制度情况，包括审查资金支付是否与项目进度相适应；资金的使用和管理是否存在截留、挤占、挪用情况；招标资金支付是否按政府采购和国库集中支付有关规定进行招标和拨付资金。并根据评价结果认真进行分析研究，努力查找资金使用和管理中的薄弱环节，制定改进和提高财务管理工作的有效措施。并将评价结果作为下一年度编报预算的参考运用，形成一个闭式循环。</w:t>
      </w:r>
    </w:p>
    <w:p>
      <w:pPr>
        <w:pStyle w:val="13"/>
        <w:bidi w:val="0"/>
        <w:rPr>
          <w:rFonts w:hint="eastAsia"/>
        </w:rPr>
      </w:pPr>
      <w:r>
        <w:rPr>
          <w:rFonts w:hint="eastAsia"/>
        </w:rPr>
        <w:t>5、规范财务资产管理</w:t>
      </w:r>
    </w:p>
    <w:p>
      <w:pPr>
        <w:pStyle w:val="13"/>
        <w:bidi w:val="0"/>
        <w:rPr>
          <w:rFonts w:hint="eastAsia"/>
        </w:rPr>
      </w:pPr>
      <w:r>
        <w:rPr>
          <w:rFonts w:hint="eastAsia"/>
        </w:rPr>
        <w:t>完善财务管理制度，严格审批程序，加强固定资产登记、使用和报废处置管理，做到支出合理，物尽其用。</w:t>
      </w:r>
    </w:p>
    <w:p>
      <w:pPr>
        <w:pStyle w:val="13"/>
        <w:bidi w:val="0"/>
        <w:rPr>
          <w:rFonts w:hint="eastAsia"/>
        </w:rPr>
      </w:pPr>
      <w:r>
        <w:rPr>
          <w:rFonts w:hint="eastAsia"/>
        </w:rPr>
        <w:t>6、加强内部监督</w:t>
      </w:r>
    </w:p>
    <w:p>
      <w:pPr>
        <w:pStyle w:val="13"/>
        <w:bidi w:val="0"/>
        <w:rPr>
          <w:rFonts w:hint="eastAsia"/>
        </w:rPr>
      </w:pPr>
      <w:r>
        <w:rPr>
          <w:rFonts w:hint="eastAsia"/>
        </w:rPr>
        <w:t>建立内部牵制制度，不相容职务分离制度，聘请会计师事务所对重大支出决策、对外投资、资产处置及其他重要经济业务事项的决策和执行进行督导。配备专职内审人员，进行内部审计，并配合做好审计、财政监督等外部监督工作，确保财政资金安全有效。</w:t>
      </w:r>
    </w:p>
    <w:p>
      <w:pPr>
        <w:pStyle w:val="13"/>
        <w:bidi w:val="0"/>
        <w:rPr>
          <w:rFonts w:hint="eastAsia"/>
        </w:rPr>
      </w:pPr>
      <w:r>
        <w:rPr>
          <w:rFonts w:hint="eastAsia"/>
        </w:rPr>
        <w:t>7、加强宣传培训调研</w:t>
      </w:r>
    </w:p>
    <w:p>
      <w:pPr>
        <w:pStyle w:val="13"/>
        <w:bidi w:val="0"/>
        <w:rPr>
          <w:rFonts w:hint="eastAsia"/>
        </w:rPr>
      </w:pPr>
      <w:r>
        <w:rPr>
          <w:rFonts w:hint="eastAsia"/>
        </w:rPr>
        <w:t>加强人员培训，提高本部门职工业务素质；加强调研，提出优化财政资金配置、提高资金使用效益的建议；加大宣传力度，强化预算绩效管理意识，促进预算绩效管理水平进一步提升。</w:t>
      </w:r>
    </w:p>
    <w:p>
      <w:pPr>
        <w:pStyle w:val="13"/>
        <w:bidi w:val="0"/>
        <w:rPr>
          <w:rFonts w:hint="eastAsia"/>
        </w:rPr>
      </w:pPr>
      <w:r>
        <w:rPr>
          <w:rFonts w:hint="eastAsia"/>
        </w:rPr>
        <w:t>8、把握总体进度</w:t>
      </w:r>
    </w:p>
    <w:p>
      <w:pPr>
        <w:pStyle w:val="13"/>
        <w:bidi w:val="0"/>
      </w:pPr>
      <w:r>
        <w:rPr>
          <w:rFonts w:hint="eastAsia"/>
        </w:rPr>
        <w:t>各部门要落实工作责任，切实发挥各自职能，做好同国家、省对口单位的协调联系，积极主动争取上级政策支持，全方位推进新机场和临空经济区建设。</w:t>
      </w:r>
      <w:r>
        <w:rPr>
          <w:rFonts w:hint="eastAsia"/>
          <w:lang w:eastAsia="zh-CN"/>
        </w:rPr>
        <w:t>临空管委会</w:t>
      </w:r>
      <w:r>
        <w:rPr>
          <w:rFonts w:hint="eastAsia"/>
        </w:rPr>
        <w:t>要总体协调进度，准确掌握新机场建设涉及各项工作进展情况，及时协调督导各部门进度，确保各项重点工作牵头部门和参与部门各司其职、各负其责、密切协作、积极配合。</w:t>
      </w:r>
    </w:p>
    <w:p>
      <w:pPr>
        <w:overflowPunct w:val="0"/>
        <w:adjustRightInd w:val="0"/>
        <w:snapToGrid w:val="0"/>
        <w:spacing w:after="156" w:afterLines="50" w:line="580" w:lineRule="exact"/>
        <w:ind w:firstLine="629"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09"/>
        <w:gridCol w:w="763"/>
        <w:gridCol w:w="2108"/>
        <w:gridCol w:w="3751"/>
        <w:gridCol w:w="2470"/>
        <w:gridCol w:w="601"/>
        <w:gridCol w:w="1040"/>
        <w:gridCol w:w="70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blHeader/>
          <w:jc w:val="center"/>
        </w:trPr>
        <w:tc>
          <w:tcPr>
            <w:tcW w:w="283"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一级指标</w:t>
            </w:r>
          </w:p>
        </w:tc>
        <w:tc>
          <w:tcPr>
            <w:tcW w:w="267"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二级指标</w:t>
            </w:r>
          </w:p>
        </w:tc>
        <w:tc>
          <w:tcPr>
            <w:tcW w:w="738"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三级指标</w:t>
            </w:r>
          </w:p>
        </w:tc>
        <w:tc>
          <w:tcPr>
            <w:tcW w:w="1313"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评（扣）分标准</w:t>
            </w:r>
          </w:p>
        </w:tc>
        <w:tc>
          <w:tcPr>
            <w:tcW w:w="865"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绩效指标描述</w:t>
            </w:r>
          </w:p>
        </w:tc>
        <w:tc>
          <w:tcPr>
            <w:tcW w:w="820" w:type="pct"/>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w:t>
            </w:r>
          </w:p>
        </w:tc>
        <w:tc>
          <w:tcPr>
            <w:tcW w:w="711"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tblHeader/>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31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865"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10" w:type="pc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符号</w:t>
            </w:r>
          </w:p>
        </w:tc>
        <w:tc>
          <w:tcPr>
            <w:tcW w:w="364" w:type="pc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值</w:t>
            </w:r>
          </w:p>
        </w:tc>
        <w:tc>
          <w:tcPr>
            <w:tcW w:w="245" w:type="pc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w:t>
            </w:r>
          </w:p>
        </w:tc>
        <w:tc>
          <w:tcPr>
            <w:tcW w:w="711"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283"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部门产出</w:t>
            </w:r>
          </w:p>
        </w:tc>
        <w:tc>
          <w:tcPr>
            <w:tcW w:w="267"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数量</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738"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服务用地面积</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满分100分，全过程技术咨询服务用地面积规模小于200万平方米扣10分。</w:t>
            </w:r>
          </w:p>
        </w:tc>
        <w:tc>
          <w:tcPr>
            <w:tcW w:w="865"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海绵城市建设全过程技术咨询服务用地面积</w:t>
            </w:r>
          </w:p>
        </w:tc>
        <w:tc>
          <w:tcPr>
            <w:tcW w:w="210"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364"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200</w:t>
            </w:r>
          </w:p>
        </w:tc>
        <w:tc>
          <w:tcPr>
            <w:tcW w:w="245"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万平方米</w:t>
            </w:r>
          </w:p>
        </w:tc>
        <w:tc>
          <w:tcPr>
            <w:tcW w:w="711"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项目档案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土地执法内业套核面积</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满分100分，建设用地图斑核查达到15000亩得满分。10000-14999亩扣10分。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建设用地图斑核查</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15000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亩</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工作实际需求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规划编制方案成果数量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w:t>
            </w:r>
            <w:r>
              <w:rPr>
                <w:rFonts w:hint="eastAsia" w:ascii="仿宋_GB2312" w:hAnsi="仿宋_GB2312" w:eastAsia="仿宋_GB2312" w:cs="仿宋_GB2312"/>
                <w:i w:val="0"/>
                <w:color w:val="000000"/>
                <w:kern w:val="0"/>
                <w:sz w:val="21"/>
                <w:szCs w:val="21"/>
                <w:u w:val="none"/>
                <w:lang w:val="en-US" w:eastAsia="zh-CN" w:bidi="ar"/>
              </w:rPr>
              <w:t>规划编制方案成果数量8套得满分，5-7套扣10分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编制完成后提供最终成果册</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8.00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套</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临空区管委会规划建设局验收记录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测量面积</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满分100分，测量面积</w:t>
            </w:r>
            <w:r>
              <w:rPr>
                <w:rFonts w:hint="eastAsia" w:ascii="仿宋_GB2312" w:hAnsi="仿宋_GB2312" w:eastAsia="仿宋_GB2312" w:cs="仿宋_GB2312"/>
                <w:i w:val="0"/>
                <w:color w:val="000000"/>
                <w:kern w:val="0"/>
                <w:sz w:val="21"/>
                <w:szCs w:val="21"/>
                <w:u w:val="none"/>
                <w:lang w:val="en-US" w:eastAsia="zh-CN" w:bidi="ar"/>
              </w:rPr>
              <w:t>达到</w:t>
            </w:r>
            <w:r>
              <w:rPr>
                <w:rFonts w:hint="eastAsia" w:ascii="仿宋_GB2312" w:hAnsi="仿宋_GB2312" w:eastAsia="仿宋_GB2312" w:cs="仿宋_GB2312"/>
                <w:i w:val="0"/>
                <w:color w:val="000000"/>
                <w:sz w:val="21"/>
                <w:szCs w:val="21"/>
                <w:u w:val="none"/>
                <w:lang w:val="en-US" w:eastAsia="zh-CN"/>
              </w:rPr>
              <w:t>4290亩得满分，3500-4289亩扣10分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反映测量面积</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4290.00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亩</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供地计划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评估宗地数</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满分100分，评估宗地数</w:t>
            </w:r>
            <w:r>
              <w:rPr>
                <w:rFonts w:hint="eastAsia" w:ascii="仿宋_GB2312" w:hAnsi="仿宋_GB2312" w:eastAsia="仿宋_GB2312" w:cs="仿宋_GB2312"/>
                <w:i w:val="0"/>
                <w:color w:val="000000"/>
                <w:kern w:val="0"/>
                <w:sz w:val="21"/>
                <w:szCs w:val="21"/>
                <w:u w:val="none"/>
                <w:lang w:val="en-US" w:eastAsia="zh-CN" w:bidi="ar"/>
              </w:rPr>
              <w:t>达到</w:t>
            </w:r>
            <w:r>
              <w:rPr>
                <w:rFonts w:hint="eastAsia" w:ascii="仿宋_GB2312" w:hAnsi="仿宋_GB2312" w:eastAsia="仿宋_GB2312" w:cs="仿宋_GB2312"/>
                <w:i w:val="0"/>
                <w:color w:val="000000"/>
                <w:sz w:val="21"/>
                <w:szCs w:val="21"/>
                <w:u w:val="none"/>
                <w:lang w:val="en-US" w:eastAsia="zh-CN"/>
              </w:rPr>
              <w:t>49宗得满分，40-48宗扣10分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反映评估宗地</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49.00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宗</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供地计划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食品质量检测次数</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w:t>
            </w:r>
            <w:r>
              <w:rPr>
                <w:rFonts w:hint="eastAsia" w:ascii="仿宋_GB2312" w:hAnsi="仿宋_GB2312" w:eastAsia="仿宋_GB2312" w:cs="仿宋_GB2312"/>
                <w:i w:val="0"/>
                <w:color w:val="000000"/>
                <w:kern w:val="0"/>
                <w:sz w:val="21"/>
                <w:szCs w:val="21"/>
                <w:u w:val="none"/>
                <w:lang w:val="en-US" w:eastAsia="zh-CN" w:bidi="ar"/>
              </w:rPr>
              <w:t>食品质量检测次数达到20次得满分，10-19次扣10分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通过抽检方式确保食品安全</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次</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工作实际需求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消防车数量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满分100分，购置消防车数量6辆得满分，购置3-5辆扣10分。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考察消防车辆采购情况</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6</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辆</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招标文件、合同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防火面积</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满分100分，充分保障防火面积得满分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防火区域总面积</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53.00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平方公里</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验收活动次数</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满分100分，验收活动次数为2次得满分，少1次扣50分。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反映验收活动次数</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次</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验收工作组验收工作要求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编制制度创新案例</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满分100分，编写</w:t>
            </w:r>
            <w:r>
              <w:rPr>
                <w:rFonts w:hint="eastAsia" w:ascii="仿宋_GB2312" w:hAnsi="仿宋_GB2312" w:eastAsia="仿宋_GB2312" w:cs="仿宋_GB2312"/>
                <w:i w:val="0"/>
                <w:color w:val="000000"/>
                <w:kern w:val="0"/>
                <w:sz w:val="21"/>
                <w:szCs w:val="21"/>
                <w:u w:val="none"/>
                <w:lang w:val="en-US" w:eastAsia="zh-CN" w:bidi="ar"/>
              </w:rPr>
              <w:t>制度创新案例达到10个得满分，5-9个扣10分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开展片区制度创新案例编写</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个</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设备购买数量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vertAlign w:val="superscript"/>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购买数量大于等于</w:t>
            </w:r>
            <w:r>
              <w:rPr>
                <w:rFonts w:hint="eastAsia" w:ascii="仿宋_GB2312" w:hAnsi="仿宋_GB2312" w:eastAsia="仿宋_GB2312" w:cs="仿宋_GB2312"/>
                <w:kern w:val="0"/>
                <w:sz w:val="21"/>
                <w:szCs w:val="21"/>
                <w:lang w:val="en-US" w:eastAsia="zh-CN"/>
              </w:rPr>
              <w:t>6个得100分，</w:t>
            </w:r>
            <w:r>
              <w:rPr>
                <w:rFonts w:hint="eastAsia" w:ascii="仿宋_GB2312" w:hAnsi="仿宋_GB2312" w:eastAsia="仿宋_GB2312" w:cs="仿宋_GB2312"/>
                <w:kern w:val="0"/>
                <w:sz w:val="21"/>
                <w:szCs w:val="21"/>
                <w:lang w:eastAsia="zh-CN"/>
              </w:rPr>
              <w:t>每多增加一台扣</w:t>
            </w:r>
            <w:r>
              <w:rPr>
                <w:rFonts w:hint="eastAsia" w:ascii="仿宋_GB2312" w:hAnsi="仿宋_GB2312" w:eastAsia="仿宋_GB2312" w:cs="仿宋_GB2312"/>
                <w:kern w:val="0"/>
                <w:sz w:val="21"/>
                <w:szCs w:val="21"/>
                <w:lang w:val="en-US" w:eastAsia="zh-CN"/>
              </w:rPr>
              <w:t>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办税大厅购买设备总数量</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6.00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台</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道路清扫保洁面积</w:t>
            </w:r>
          </w:p>
        </w:tc>
        <w:tc>
          <w:tcPr>
            <w:tcW w:w="131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清扫保洁面积等于</w:t>
            </w:r>
            <w:r>
              <w:rPr>
                <w:rFonts w:hint="eastAsia" w:ascii="仿宋_GB2312" w:hAnsi="仿宋_GB2312" w:eastAsia="仿宋_GB2312" w:cs="仿宋_GB2312"/>
                <w:kern w:val="0"/>
                <w:sz w:val="21"/>
                <w:szCs w:val="21"/>
                <w:lang w:val="en-US" w:eastAsia="zh-CN"/>
              </w:rPr>
              <w:t>1267745平方米得100分，</w:t>
            </w:r>
            <w:r>
              <w:rPr>
                <w:rFonts w:hint="eastAsia" w:ascii="仿宋_GB2312" w:hAnsi="仿宋_GB2312" w:eastAsia="仿宋_GB2312" w:cs="仿宋_GB2312"/>
                <w:kern w:val="0"/>
                <w:sz w:val="21"/>
                <w:szCs w:val="21"/>
                <w:lang w:eastAsia="zh-CN"/>
              </w:rPr>
              <w:t>清扫保洁面积</w:t>
            </w:r>
            <w:r>
              <w:rPr>
                <w:rFonts w:hint="eastAsia" w:ascii="仿宋_GB2312" w:hAnsi="仿宋_GB2312" w:eastAsia="仿宋_GB2312" w:cs="仿宋_GB2312"/>
                <w:kern w:val="0"/>
                <w:sz w:val="21"/>
                <w:szCs w:val="21"/>
              </w:rPr>
              <w:t>每少</w:t>
            </w:r>
            <w:r>
              <w:rPr>
                <w:rFonts w:hint="eastAsia" w:ascii="仿宋_GB2312" w:hAnsi="仿宋_GB2312" w:eastAsia="仿宋_GB2312" w:cs="仿宋_GB2312"/>
                <w:kern w:val="0"/>
                <w:sz w:val="21"/>
                <w:szCs w:val="21"/>
                <w:lang w:val="en-US" w:eastAsia="zh-CN"/>
              </w:rPr>
              <w:t>10万平米</w:t>
            </w:r>
            <w:r>
              <w:rPr>
                <w:rFonts w:hint="eastAsia" w:ascii="仿宋_GB2312" w:hAnsi="仿宋_GB2312" w:eastAsia="仿宋_GB2312" w:cs="仿宋_GB2312"/>
                <w:kern w:val="0"/>
                <w:sz w:val="21"/>
                <w:szCs w:val="21"/>
              </w:rPr>
              <w:t>扣10分</w:t>
            </w:r>
            <w:r>
              <w:rPr>
                <w:rFonts w:hint="eastAsia" w:ascii="仿宋_GB2312" w:hAnsi="仿宋_GB2312" w:eastAsia="仿宋_GB2312" w:cs="仿宋_GB2312"/>
                <w:kern w:val="0"/>
                <w:sz w:val="21"/>
                <w:szCs w:val="21"/>
                <w:lang w:eastAsia="zh-CN"/>
              </w:rPr>
              <w:t>，</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道路清扫保洁面积</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1267745.00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平方米</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管理公厕数量</w:t>
            </w:r>
          </w:p>
        </w:tc>
        <w:tc>
          <w:tcPr>
            <w:tcW w:w="131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管理公厕</w:t>
            </w:r>
            <w:r>
              <w:rPr>
                <w:rFonts w:hint="eastAsia" w:ascii="仿宋_GB2312" w:hAnsi="仿宋_GB2312" w:eastAsia="仿宋_GB2312" w:cs="仿宋_GB2312"/>
                <w:kern w:val="0"/>
                <w:sz w:val="21"/>
                <w:szCs w:val="21"/>
              </w:rPr>
              <w:t>数量</w:t>
            </w:r>
            <w:r>
              <w:rPr>
                <w:rFonts w:hint="eastAsia" w:ascii="仿宋_GB2312" w:hAnsi="仿宋_GB2312" w:eastAsia="仿宋_GB2312" w:cs="仿宋_GB2312"/>
                <w:kern w:val="0"/>
                <w:sz w:val="21"/>
                <w:szCs w:val="21"/>
                <w:lang w:eastAsia="zh-CN"/>
              </w:rPr>
              <w:t>等于</w:t>
            </w:r>
            <w:r>
              <w:rPr>
                <w:rFonts w:hint="eastAsia" w:ascii="仿宋_GB2312" w:hAnsi="仿宋_GB2312" w:eastAsia="仿宋_GB2312" w:cs="仿宋_GB2312"/>
                <w:kern w:val="0"/>
                <w:sz w:val="21"/>
                <w:szCs w:val="21"/>
                <w:lang w:val="en-US" w:eastAsia="zh-CN"/>
              </w:rPr>
              <w:t>3个得100分，</w:t>
            </w:r>
            <w:r>
              <w:rPr>
                <w:rFonts w:hint="eastAsia" w:ascii="仿宋_GB2312" w:hAnsi="仿宋_GB2312" w:eastAsia="仿宋_GB2312" w:cs="仿宋_GB2312"/>
                <w:kern w:val="0"/>
                <w:sz w:val="21"/>
                <w:szCs w:val="21"/>
              </w:rPr>
              <w:t>每少</w:t>
            </w:r>
            <w:r>
              <w:rPr>
                <w:rFonts w:hint="eastAsia" w:ascii="仿宋_GB2312" w:hAnsi="仿宋_GB2312" w:eastAsia="仿宋_GB2312" w:cs="仿宋_GB2312"/>
                <w:kern w:val="0"/>
                <w:sz w:val="21"/>
                <w:szCs w:val="21"/>
                <w:lang w:val="en-US" w:eastAsia="zh-CN"/>
              </w:rPr>
              <w:t>1个</w:t>
            </w:r>
            <w:r>
              <w:rPr>
                <w:rFonts w:hint="eastAsia" w:ascii="仿宋_GB2312" w:hAnsi="仿宋_GB2312" w:eastAsia="仿宋_GB2312" w:cs="仿宋_GB2312"/>
                <w:kern w:val="0"/>
                <w:sz w:val="21"/>
                <w:szCs w:val="21"/>
              </w:rPr>
              <w:t>10分</w:t>
            </w:r>
            <w:r>
              <w:rPr>
                <w:rFonts w:hint="eastAsia" w:ascii="仿宋_GB2312" w:hAnsi="仿宋_GB2312" w:eastAsia="仿宋_GB2312" w:cs="仿宋_GB2312"/>
                <w:kern w:val="0"/>
                <w:sz w:val="21"/>
                <w:szCs w:val="21"/>
                <w:lang w:eastAsia="zh-CN"/>
              </w:rPr>
              <w:t>。</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管理公厕数量</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个</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道路清扫每日作业次数</w:t>
            </w:r>
          </w:p>
        </w:tc>
        <w:tc>
          <w:tcPr>
            <w:tcW w:w="1313" w:type="pct"/>
            <w:noWrap w:val="0"/>
            <w:vAlign w:val="center"/>
          </w:tcPr>
          <w:p>
            <w:pPr>
              <w:keepNext w:val="0"/>
              <w:keepLines w:val="0"/>
              <w:widowControl/>
              <w:suppressLineNumbers w:val="0"/>
              <w:spacing w:before="0" w:beforeAutospacing="0" w:after="0" w:afterAutospacing="0"/>
              <w:ind w:left="210" w:leftChars="0" w:right="0" w:hanging="210" w:hangingChars="10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每日清扫作业次数</w:t>
            </w:r>
            <w:r>
              <w:rPr>
                <w:rFonts w:hint="eastAsia" w:ascii="仿宋_GB2312" w:hAnsi="仿宋_GB2312" w:eastAsia="仿宋_GB2312" w:cs="仿宋_GB2312"/>
                <w:kern w:val="0"/>
                <w:sz w:val="21"/>
                <w:szCs w:val="21"/>
                <w:lang w:val="en-US" w:eastAsia="zh-CN"/>
              </w:rPr>
              <w:t>1次得100分，每日未清扫扣50</w:t>
            </w:r>
            <w:r>
              <w:rPr>
                <w:rFonts w:hint="eastAsia" w:ascii="仿宋_GB2312" w:hAnsi="仿宋_GB2312" w:eastAsia="仿宋_GB2312" w:cs="仿宋_GB2312"/>
                <w:kern w:val="0"/>
                <w:sz w:val="21"/>
                <w:szCs w:val="21"/>
              </w:rPr>
              <w:t>分</w:t>
            </w:r>
            <w:r>
              <w:rPr>
                <w:rFonts w:hint="eastAsia" w:ascii="仿宋_GB2312" w:hAnsi="仿宋_GB2312" w:eastAsia="仿宋_GB2312" w:cs="仿宋_GB2312"/>
                <w:kern w:val="0"/>
                <w:sz w:val="21"/>
                <w:szCs w:val="21"/>
                <w:lang w:val="en-US" w:eastAsia="zh-CN"/>
              </w:rPr>
              <w:t>。</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道路清扫每日作业次数</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次</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摆放花卉种类</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节日美化摆放花卉种类大于等于</w:t>
            </w:r>
            <w:r>
              <w:rPr>
                <w:rFonts w:hint="eastAsia" w:ascii="仿宋_GB2312" w:hAnsi="仿宋_GB2312" w:eastAsia="仿宋_GB2312" w:cs="仿宋_GB2312"/>
                <w:kern w:val="0"/>
                <w:sz w:val="21"/>
                <w:szCs w:val="21"/>
                <w:lang w:val="en-US" w:eastAsia="zh-CN"/>
              </w:rPr>
              <w:t>23种得100分，每少一种扣10分。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节日美化项目摆放花卉种类</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23</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种</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花卉总盆数</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摆放花卉盆数大于等于</w:t>
            </w:r>
            <w:r>
              <w:rPr>
                <w:rFonts w:hint="eastAsia" w:ascii="仿宋_GB2312" w:hAnsi="仿宋_GB2312" w:eastAsia="仿宋_GB2312" w:cs="仿宋_GB2312"/>
                <w:kern w:val="0"/>
                <w:sz w:val="21"/>
                <w:szCs w:val="21"/>
                <w:lang w:val="en-US" w:eastAsia="zh-CN"/>
              </w:rPr>
              <w:t>112万盆得100分，每少1000盆扣10分。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摆放花卉总盆数</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112</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万盆</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体系报告</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完成</w:t>
            </w:r>
            <w:r>
              <w:rPr>
                <w:rFonts w:hint="eastAsia" w:ascii="仿宋_GB2312" w:hAnsi="仿宋_GB2312" w:eastAsia="仿宋_GB2312" w:cs="仿宋_GB2312"/>
                <w:kern w:val="0"/>
                <w:sz w:val="21"/>
                <w:szCs w:val="21"/>
                <w:lang w:val="en-US" w:eastAsia="zh-CN"/>
              </w:rPr>
              <w:t>3件体系报告得100分，</w:t>
            </w:r>
            <w:r>
              <w:rPr>
                <w:rFonts w:hint="eastAsia" w:ascii="仿宋_GB2312" w:hAnsi="仿宋_GB2312" w:eastAsia="仿宋_GB2312" w:cs="仿宋_GB2312"/>
                <w:kern w:val="0"/>
                <w:sz w:val="21"/>
                <w:szCs w:val="21"/>
                <w:lang w:eastAsia="zh-CN"/>
              </w:rPr>
              <w:t>每少</w:t>
            </w:r>
            <w:r>
              <w:rPr>
                <w:rFonts w:hint="eastAsia" w:ascii="仿宋_GB2312" w:hAnsi="仿宋_GB2312" w:eastAsia="仿宋_GB2312" w:cs="仿宋_GB2312"/>
                <w:kern w:val="0"/>
                <w:sz w:val="21"/>
                <w:szCs w:val="21"/>
                <w:lang w:val="en-US" w:eastAsia="zh-CN"/>
              </w:rPr>
              <w:t>1件扣20分。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形成产业综合服务体系</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件</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数据采集汇聚量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数据采集</w:t>
            </w:r>
            <w:r>
              <w:rPr>
                <w:rFonts w:hint="eastAsia" w:ascii="仿宋_GB2312" w:hAnsi="仿宋_GB2312" w:eastAsia="仿宋_GB2312" w:cs="仿宋_GB2312"/>
                <w:kern w:val="0"/>
                <w:sz w:val="21"/>
                <w:szCs w:val="21"/>
                <w:lang w:val="en-US" w:eastAsia="zh-CN"/>
              </w:rPr>
              <w:t>95%以上得100分，85%-90%扣10分，85%-70%扣20分。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廊坊临空区已经设计和施工的地下设施数据</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95.00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《城市地下空间设施分类与代码》（GB/T 28590-2012）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子系统数量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子系统数量等于</w:t>
            </w:r>
            <w:r>
              <w:rPr>
                <w:rFonts w:hint="eastAsia" w:ascii="仿宋_GB2312" w:hAnsi="仿宋_GB2312" w:eastAsia="仿宋_GB2312" w:cs="仿宋_GB2312"/>
                <w:kern w:val="0"/>
                <w:sz w:val="21"/>
                <w:szCs w:val="21"/>
                <w:lang w:val="en-US" w:eastAsia="zh-CN"/>
              </w:rPr>
              <w:t>7个得100分，每少一个扣10分。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地下市政基础设施数据管理子系统、地下市政基础设施数据共享、巡查养护子系统、设施安全评估子系统、应急调度子系统、运维管理子系统、标准规范编制</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7</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个</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政府部门反馈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教室数量</w:t>
            </w:r>
          </w:p>
        </w:tc>
        <w:tc>
          <w:tcPr>
            <w:tcW w:w="131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教室数量等于</w:t>
            </w:r>
            <w:r>
              <w:rPr>
                <w:rFonts w:hint="eastAsia" w:ascii="仿宋_GB2312" w:hAnsi="仿宋_GB2312" w:eastAsia="仿宋_GB2312" w:cs="仿宋_GB2312"/>
                <w:kern w:val="0"/>
                <w:sz w:val="21"/>
                <w:szCs w:val="21"/>
                <w:lang w:val="en-US" w:eastAsia="zh-CN"/>
              </w:rPr>
              <w:t>20间得100分，每少一间扣10分。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配备教育装备的专用教室数量</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间</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辅导参加部门数量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辅导部分数量大于等于</w:t>
            </w:r>
            <w:r>
              <w:rPr>
                <w:rFonts w:hint="eastAsia" w:ascii="仿宋_GB2312" w:hAnsi="仿宋_GB2312" w:eastAsia="仿宋_GB2312" w:cs="仿宋_GB2312"/>
                <w:kern w:val="0"/>
                <w:sz w:val="21"/>
                <w:szCs w:val="21"/>
                <w:lang w:val="en-US" w:eastAsia="zh-CN"/>
              </w:rPr>
              <w:t>9个得100分，每少1个部分扣10分。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当年参加辅导部门数量</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个</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全过程管理重点项目数量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管理重点项目大于等于</w:t>
            </w:r>
            <w:r>
              <w:rPr>
                <w:rFonts w:hint="eastAsia" w:ascii="仿宋_GB2312" w:hAnsi="仿宋_GB2312" w:eastAsia="仿宋_GB2312" w:cs="仿宋_GB2312"/>
                <w:kern w:val="0"/>
                <w:sz w:val="21"/>
                <w:szCs w:val="21"/>
                <w:lang w:val="en-US" w:eastAsia="zh-CN"/>
              </w:rPr>
              <w:t>20个得100分，每少1个项目扣10分。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全过程管理重点项目数量</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个</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购置设备合格率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购置设备合格率达到</w:t>
            </w:r>
            <w:r>
              <w:rPr>
                <w:rFonts w:hint="eastAsia" w:ascii="仿宋_GB2312" w:hAnsi="仿宋_GB2312" w:eastAsia="仿宋_GB2312" w:cs="仿宋_GB2312"/>
                <w:kern w:val="0"/>
                <w:sz w:val="21"/>
                <w:szCs w:val="21"/>
                <w:lang w:val="en-US" w:eastAsia="zh-CN"/>
              </w:rPr>
              <w:t>100%得满分，达到95%-90%扣10分，85%以下扣20分。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办税大厅购置设备合格数量/购置设备总数量*100%</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区域环境卫生质量</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区域内环境卫生达标得满分，不达标扣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区域环境卫生质量</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达标</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景观效果</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有效提升景观效果得满分，未能提升景观效果扣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提升临空区景观效果</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有效提升</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软件质量合格率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软件合格率达到</w:t>
            </w:r>
            <w:r>
              <w:rPr>
                <w:rFonts w:hint="eastAsia" w:ascii="仿宋_GB2312" w:hAnsi="仿宋_GB2312" w:eastAsia="仿宋_GB2312" w:cs="仿宋_GB2312"/>
                <w:kern w:val="0"/>
                <w:sz w:val="21"/>
                <w:szCs w:val="21"/>
                <w:lang w:val="en-US" w:eastAsia="zh-CN"/>
              </w:rPr>
              <w:t>100%得满分，达到95%-90%扣10分，85%以下扣20分。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系统合格数量/总系统数量*100%</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服务办结率</w:t>
            </w:r>
          </w:p>
        </w:tc>
        <w:tc>
          <w:tcPr>
            <w:tcW w:w="1313"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满分100分，办结率达到100%得满分，90-99%扣10分</w:t>
            </w:r>
          </w:p>
        </w:tc>
        <w:tc>
          <w:tcPr>
            <w:tcW w:w="865"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[办结数量/申请数量]×100%</w:t>
            </w:r>
          </w:p>
        </w:tc>
        <w:tc>
          <w:tcPr>
            <w:tcW w:w="210"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364"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100</w:t>
            </w:r>
          </w:p>
        </w:tc>
        <w:tc>
          <w:tcPr>
            <w:tcW w:w="245"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11" w:type="pct"/>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项目档案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专家评审通过率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满分100分，专家评审通过率100%得满分，90-99%扣10分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临空经济区管委会规划建设局组织专家对编制方案进行评审</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专家评审会议纪要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活动覆盖率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满分100分，活动覆盖率达到95%得满分，85-94%扣10分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各项活动覆盖率（%）</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95.00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消防车辆装备器材、执勤配套设施质量合格率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满分100分，质量合格率100得满分，90-99%扣10分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该指标主要考核消防车辆装备器材、执勤配套设施采购验收情况。</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《城市消防站建设标准》、招标文件、合同、验收单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核酸检测覆盖面</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w:t>
            </w:r>
            <w:r>
              <w:rPr>
                <w:rFonts w:hint="eastAsia" w:ascii="仿宋_GB2312" w:hAnsi="仿宋_GB2312" w:eastAsia="仿宋_GB2312" w:cs="仿宋_GB2312"/>
                <w:i w:val="0"/>
                <w:color w:val="000000"/>
                <w:kern w:val="0"/>
                <w:sz w:val="21"/>
                <w:szCs w:val="21"/>
                <w:u w:val="none"/>
                <w:lang w:val="en-US" w:eastAsia="zh-CN" w:bidi="ar"/>
              </w:rPr>
              <w:t>核酸检测覆盖面95%得满分</w:t>
            </w:r>
            <w:r>
              <w:rPr>
                <w:rFonts w:hint="eastAsia" w:ascii="仿宋_GB2312" w:hAnsi="仿宋_GB2312" w:eastAsia="仿宋_GB2312" w:cs="仿宋_GB2312"/>
                <w:i w:val="0"/>
                <w:color w:val="000000"/>
                <w:sz w:val="21"/>
                <w:szCs w:val="21"/>
                <w:u w:val="none"/>
                <w:lang w:val="en-US" w:eastAsia="zh-CN"/>
              </w:rPr>
              <w:t>，85-94%扣10分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参加核酸检测人数/总人数*100%</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95.00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5"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市容监察覆盖率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满分100分，市容监察覆盖率达到95%得满分，85-94%扣10分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对建成区监察覆盖范围</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95</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时效</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完成及时率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w:t>
            </w:r>
            <w:r>
              <w:rPr>
                <w:rFonts w:hint="eastAsia" w:ascii="仿宋_GB2312" w:hAnsi="仿宋_GB2312" w:eastAsia="仿宋_GB2312" w:cs="仿宋_GB2312"/>
                <w:i w:val="0"/>
                <w:color w:val="000000"/>
                <w:kern w:val="0"/>
                <w:sz w:val="21"/>
                <w:szCs w:val="21"/>
                <w:u w:val="none"/>
                <w:lang w:val="en-US" w:eastAsia="zh-CN" w:bidi="ar"/>
              </w:rPr>
              <w:t>按计划及时提供成果、报告占比达到98%得满分，88-97%扣10分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按计划及时提供成果、报告数量的占比</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98.00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完成及时率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满分100分，三方服务及时完成率达到98%得满分，88-97%扣10分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三方服务及时完成数量占总服务数量的比率</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98.00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及时性</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满分100分，车辆器材装备、办公配套设施购置工作及时完成得满分，未按规定时间完成，影响消防作业不得分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考察车辆器材装备、办公配套设施购置工作完成及时情况</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及时</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配备工作完成时间</w:t>
            </w:r>
          </w:p>
        </w:tc>
        <w:tc>
          <w:tcPr>
            <w:tcW w:w="131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2"/>
                <w:sz w:val="21"/>
                <w:szCs w:val="21"/>
                <w:u w:val="none"/>
                <w:lang w:val="en-US" w:eastAsia="zh-CN" w:bidi="ar-SA"/>
              </w:rPr>
              <w:t>满分100分，2022年9月完成得满分，未完成扣20分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配备工作完成时间</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kern w:val="2"/>
                <w:sz w:val="21"/>
                <w:szCs w:val="21"/>
                <w:u w:val="none"/>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2022年9月前完成配备工作</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成本</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项目预算控制</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满分100分，控制总成本不高于805.8万元得满分，低于725万元扣10分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总体项目预算控制金额</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805.8</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项目总成本</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满分100分，控制总成本不高于111.51万元得满分，低于100万元扣10分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预验收项目和正式验收项目合计成本</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111.51</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《关于北京大兴国际机场综合保税区预验收活动服务费用征求意见的函》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购置成本</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设置采购成本小于等</w:t>
            </w:r>
            <w:r>
              <w:rPr>
                <w:rFonts w:hint="eastAsia" w:ascii="仿宋_GB2312" w:hAnsi="仿宋_GB2312" w:eastAsia="仿宋_GB2312" w:cs="仿宋_GB2312"/>
                <w:kern w:val="0"/>
                <w:sz w:val="21"/>
                <w:szCs w:val="21"/>
                <w:lang w:val="en-US" w:eastAsia="zh-CN"/>
              </w:rPr>
              <w:t>于32万元得满分，每增加1万元扣5分。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各类设备的采购成本</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32.00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环卫作业总经费</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环卫作业总经费小于等</w:t>
            </w:r>
            <w:r>
              <w:rPr>
                <w:rFonts w:hint="eastAsia" w:ascii="仿宋_GB2312" w:hAnsi="仿宋_GB2312" w:eastAsia="仿宋_GB2312" w:cs="仿宋_GB2312"/>
                <w:kern w:val="0"/>
                <w:sz w:val="21"/>
                <w:szCs w:val="21"/>
                <w:lang w:val="en-US" w:eastAsia="zh-CN"/>
              </w:rPr>
              <w:t xml:space="preserve"> 于1262.02万元得满分，每增加10万元扣5分。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环卫作业总经费</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1262.02</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项目总成本</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项目总成本小于等于</w:t>
            </w:r>
            <w:r>
              <w:rPr>
                <w:rFonts w:hint="eastAsia" w:ascii="仿宋_GB2312" w:hAnsi="仿宋_GB2312" w:eastAsia="仿宋_GB2312" w:cs="仿宋_GB2312"/>
                <w:kern w:val="0"/>
                <w:sz w:val="21"/>
                <w:szCs w:val="21"/>
                <w:lang w:val="en-US" w:eastAsia="zh-CN"/>
              </w:rPr>
              <w:t>200万元得100</w:t>
            </w:r>
            <w:r>
              <w:rPr>
                <w:rFonts w:hint="eastAsia" w:ascii="仿宋_GB2312" w:hAnsi="仿宋_GB2312" w:eastAsia="仿宋_GB2312" w:cs="仿宋_GB2312"/>
                <w:kern w:val="0"/>
                <w:sz w:val="21"/>
                <w:szCs w:val="21"/>
              </w:rPr>
              <w:t>分</w:t>
            </w:r>
            <w:r>
              <w:rPr>
                <w:rFonts w:hint="eastAsia" w:ascii="仿宋_GB2312" w:hAnsi="仿宋_GB2312" w:eastAsia="仿宋_GB2312" w:cs="仿宋_GB2312"/>
                <w:kern w:val="0"/>
                <w:sz w:val="21"/>
                <w:szCs w:val="21"/>
                <w:lang w:eastAsia="zh-CN"/>
              </w:rPr>
              <w:t>，每多增加</w:t>
            </w:r>
            <w:r>
              <w:rPr>
                <w:rFonts w:hint="eastAsia" w:ascii="仿宋_GB2312" w:hAnsi="仿宋_GB2312" w:eastAsia="仿宋_GB2312" w:cs="仿宋_GB2312"/>
                <w:kern w:val="0"/>
                <w:sz w:val="21"/>
                <w:szCs w:val="21"/>
                <w:lang w:val="en-US" w:eastAsia="zh-CN"/>
              </w:rPr>
              <w:t>10万元扣10分。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产业综合服务体系项目总成本</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200.00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预算绩效改革</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预算绩效改革成本小于等于</w:t>
            </w:r>
            <w:r>
              <w:rPr>
                <w:rFonts w:hint="eastAsia" w:ascii="仿宋_GB2312" w:hAnsi="仿宋_GB2312" w:eastAsia="仿宋_GB2312" w:cs="仿宋_GB2312"/>
                <w:kern w:val="0"/>
                <w:sz w:val="21"/>
                <w:szCs w:val="21"/>
                <w:lang w:val="en-US" w:eastAsia="zh-CN"/>
              </w:rPr>
              <w:t>128.73万元得满分，每高1万元扣5分。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预算绩效改革辅导标准控制情况</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128.73</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办公经费成本</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总成本小于等于</w:t>
            </w:r>
            <w:r>
              <w:rPr>
                <w:rFonts w:hint="eastAsia" w:ascii="仿宋_GB2312" w:hAnsi="仿宋_GB2312" w:eastAsia="仿宋_GB2312" w:cs="仿宋_GB2312"/>
                <w:kern w:val="0"/>
                <w:sz w:val="21"/>
                <w:szCs w:val="21"/>
                <w:lang w:val="en-US" w:eastAsia="zh-CN"/>
              </w:rPr>
              <w:t>1809.95万得</w:t>
            </w: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rPr>
              <w:t>0分</w:t>
            </w:r>
            <w:r>
              <w:rPr>
                <w:rFonts w:hint="eastAsia" w:ascii="仿宋_GB2312" w:hAnsi="仿宋_GB2312" w:eastAsia="仿宋_GB2312" w:cs="仿宋_GB2312"/>
                <w:kern w:val="0"/>
                <w:sz w:val="21"/>
                <w:szCs w:val="21"/>
                <w:lang w:eastAsia="zh-CN"/>
              </w:rPr>
              <w:t>，每多</w:t>
            </w:r>
            <w:r>
              <w:rPr>
                <w:rFonts w:hint="eastAsia" w:ascii="仿宋_GB2312" w:hAnsi="仿宋_GB2312" w:eastAsia="仿宋_GB2312" w:cs="仿宋_GB2312"/>
                <w:kern w:val="0"/>
                <w:sz w:val="21"/>
                <w:szCs w:val="21"/>
                <w:lang w:val="en-US" w:eastAsia="zh-CN"/>
              </w:rPr>
              <w:t>100万元</w:t>
            </w:r>
            <w:r>
              <w:rPr>
                <w:rFonts w:hint="eastAsia" w:ascii="仿宋_GB2312" w:hAnsi="仿宋_GB2312" w:eastAsia="仿宋_GB2312" w:cs="仿宋_GB2312"/>
                <w:kern w:val="0"/>
                <w:sz w:val="21"/>
                <w:szCs w:val="21"/>
                <w:lang w:eastAsia="zh-CN"/>
              </w:rPr>
              <w:t>扣</w:t>
            </w:r>
            <w:r>
              <w:rPr>
                <w:rFonts w:hint="eastAsia" w:ascii="仿宋_GB2312" w:hAnsi="仿宋_GB2312" w:eastAsia="仿宋_GB2312" w:cs="仿宋_GB2312"/>
                <w:kern w:val="0"/>
                <w:sz w:val="21"/>
                <w:szCs w:val="21"/>
                <w:lang w:val="en-US" w:eastAsia="zh-CN"/>
              </w:rPr>
              <w:t>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办公经费成本</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1809.95</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投资评审成本控制</w:t>
            </w:r>
          </w:p>
        </w:tc>
        <w:tc>
          <w:tcPr>
            <w:tcW w:w="1313" w:type="pct"/>
            <w:noWrap w:val="0"/>
            <w:vAlign w:val="center"/>
          </w:tcPr>
          <w:p>
            <w:pPr>
              <w:keepNext w:val="0"/>
              <w:keepLines w:val="0"/>
              <w:suppressLineNumbers w:val="0"/>
              <w:spacing w:before="0" w:beforeAutospacing="0" w:after="0" w:afterAutospacing="0"/>
              <w:ind w:left="210" w:leftChars="0" w:right="0" w:hanging="210" w:hangingChars="10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投资评审成本小于等于</w:t>
            </w:r>
            <w:r>
              <w:rPr>
                <w:rFonts w:hint="eastAsia" w:ascii="仿宋_GB2312" w:hAnsi="仿宋_GB2312" w:eastAsia="仿宋_GB2312" w:cs="仿宋_GB2312"/>
                <w:kern w:val="0"/>
                <w:sz w:val="21"/>
                <w:szCs w:val="21"/>
                <w:lang w:val="en-US" w:eastAsia="zh-CN"/>
              </w:rPr>
              <w:t>30万得</w:t>
            </w: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0</w:t>
            </w:r>
            <w:r>
              <w:rPr>
                <w:rFonts w:hint="eastAsia" w:ascii="仿宋_GB2312" w:hAnsi="仿宋_GB2312" w:eastAsia="仿宋_GB2312" w:cs="仿宋_GB2312"/>
                <w:kern w:val="0"/>
                <w:sz w:val="21"/>
                <w:szCs w:val="21"/>
              </w:rPr>
              <w:t>0分</w:t>
            </w:r>
            <w:r>
              <w:rPr>
                <w:rFonts w:hint="eastAsia" w:ascii="仿宋_GB2312" w:hAnsi="仿宋_GB2312" w:eastAsia="仿宋_GB2312" w:cs="仿宋_GB2312"/>
                <w:kern w:val="0"/>
                <w:sz w:val="21"/>
                <w:szCs w:val="21"/>
                <w:lang w:eastAsia="zh-CN"/>
              </w:rPr>
              <w:t>，每多</w:t>
            </w:r>
            <w:r>
              <w:rPr>
                <w:rFonts w:hint="eastAsia" w:ascii="仿宋_GB2312" w:hAnsi="仿宋_GB2312" w:eastAsia="仿宋_GB2312" w:cs="仿宋_GB2312"/>
                <w:kern w:val="0"/>
                <w:sz w:val="21"/>
                <w:szCs w:val="21"/>
                <w:lang w:val="en-US" w:eastAsia="zh-CN"/>
              </w:rPr>
              <w:t>1万元</w:t>
            </w:r>
            <w:r>
              <w:rPr>
                <w:rFonts w:hint="eastAsia" w:ascii="仿宋_GB2312" w:hAnsi="仿宋_GB2312" w:eastAsia="仿宋_GB2312" w:cs="仿宋_GB2312"/>
                <w:kern w:val="0"/>
                <w:sz w:val="21"/>
                <w:szCs w:val="21"/>
                <w:lang w:eastAsia="zh-CN"/>
              </w:rPr>
              <w:t>扣</w:t>
            </w:r>
            <w:r>
              <w:rPr>
                <w:rFonts w:hint="eastAsia" w:ascii="仿宋_GB2312" w:hAnsi="仿宋_GB2312" w:eastAsia="仿宋_GB2312" w:cs="仿宋_GB2312"/>
                <w:kern w:val="0"/>
                <w:sz w:val="21"/>
                <w:szCs w:val="21"/>
                <w:lang w:val="en-US" w:eastAsia="zh-CN"/>
              </w:rPr>
              <w:t>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投资评审预（决）算成本控制</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30.00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万元</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部门效果</w:t>
            </w:r>
          </w:p>
        </w:tc>
        <w:tc>
          <w:tcPr>
            <w:tcW w:w="267"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经济效益</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节约过程成本</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满分100分，节约海绵城市落地成本得满分，未能有效节约成本扣10分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节约海绵城市落地成本</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促进作用</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专家评审会会议纪要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优化税收环境</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优化税收环境得满分，未能优化税收环境扣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促进实现税收现代化，减轻纳税人负担</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优化</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挽回社会经济损失</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满分100分，有效</w:t>
            </w:r>
            <w:r>
              <w:rPr>
                <w:rFonts w:hint="eastAsia" w:ascii="仿宋_GB2312" w:hAnsi="仿宋_GB2312" w:eastAsia="仿宋_GB2312" w:cs="仿宋_GB2312"/>
                <w:i w:val="0"/>
                <w:color w:val="000000"/>
                <w:kern w:val="0"/>
                <w:sz w:val="21"/>
                <w:szCs w:val="21"/>
                <w:u w:val="none"/>
                <w:lang w:val="en-US" w:eastAsia="zh-CN" w:bidi="ar"/>
              </w:rPr>
              <w:t>避免发生国土资源损失、安全生产、食品安全等事件造成经济损失得满分，未能</w:t>
            </w:r>
            <w:r>
              <w:rPr>
                <w:rFonts w:hint="eastAsia" w:ascii="仿宋_GB2312" w:hAnsi="仿宋_GB2312" w:eastAsia="仿宋_GB2312" w:cs="仿宋_GB2312"/>
                <w:i w:val="0"/>
                <w:color w:val="000000"/>
                <w:sz w:val="21"/>
                <w:szCs w:val="21"/>
                <w:u w:val="none"/>
                <w:lang w:val="en-US" w:eastAsia="zh-CN"/>
              </w:rPr>
              <w:t>有效</w:t>
            </w:r>
            <w:r>
              <w:rPr>
                <w:rFonts w:hint="eastAsia" w:ascii="仿宋_GB2312" w:hAnsi="仿宋_GB2312" w:eastAsia="仿宋_GB2312" w:cs="仿宋_GB2312"/>
                <w:i w:val="0"/>
                <w:color w:val="000000"/>
                <w:kern w:val="0"/>
                <w:sz w:val="21"/>
                <w:szCs w:val="21"/>
                <w:u w:val="none"/>
                <w:lang w:val="en-US" w:eastAsia="zh-CN" w:bidi="ar"/>
              </w:rPr>
              <w:t>降低经济损失扣10分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避免发生国土资源损失、安全生产、食品安全等事件造成经济损失</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有效降低损失</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社会效益</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灭火救援效率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满分100分，及时处理消防安全事故得满分，未能及时处理消防安全事故扣10分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该指标主要考核消防安全事故处理是否及时有效。</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有效保障</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出勤通知、出勤任务记录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提高政务服务水平</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优化政务服务水平得满分，未能优化政务水平扣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提高项目前期手续办理效率，改善营商环境</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优化</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市容环境整洁，</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垃圾分类有序</w:t>
            </w:r>
          </w:p>
        </w:tc>
        <w:tc>
          <w:tcPr>
            <w:tcW w:w="131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保证环卫作业正常开展得满分，未能保证环卫作业正常开展扣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保证环卫日常作业正常开展，垃圾分类宣传推广到位</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有效保障</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根据项目实际情况确定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提升社会影响力</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有效提升社会影响力得满分，未有效提升扣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通过良好的景观效果，提升区域社会影响力</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提升</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单位标准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形成廊坊临空经济区产业综合服务体系</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，有效提供企业提供协调管理投资运营创新创业等服务得满分，未有效提供保障扣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保证廊坊临空经济区产业发展可持续高质量</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为企业提供服务保障</w:t>
            </w:r>
          </w:p>
        </w:tc>
        <w:tc>
          <w:tcPr>
            <w:tcW w:w="711"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数据共建共享</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有效促进数据共享得满分，未能促进数据共享扣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满足设施规划建设、运行服务、智慧城市等三个单位数据共享需要</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有效促进</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《廊坊市国民经济和社会发展第十四个五年规划和二〇三五年远景目标纲要（2021 年 2 月 28 日廊坊市第七届人民代表大会第七次会议批准）》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业务保障能力提升情况</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kern w:val="0"/>
                <w:sz w:val="21"/>
                <w:szCs w:val="21"/>
              </w:rPr>
              <w:t>满分100分，</w:t>
            </w:r>
            <w:r>
              <w:rPr>
                <w:rFonts w:hint="eastAsia" w:ascii="仿宋_GB2312" w:hAnsi="仿宋_GB2312" w:eastAsia="仿宋_GB2312" w:cs="仿宋_GB2312"/>
                <w:kern w:val="0"/>
                <w:sz w:val="21"/>
                <w:szCs w:val="21"/>
                <w:lang w:eastAsia="zh-CN"/>
              </w:rPr>
              <w:t>辅导绩效业务能力得到提升得满分，未能得到提升扣</w:t>
            </w:r>
            <w:r>
              <w:rPr>
                <w:rFonts w:hint="eastAsia" w:ascii="仿宋_GB2312" w:hAnsi="仿宋_GB2312" w:eastAsia="仿宋_GB2312" w:cs="仿宋_GB2312"/>
                <w:kern w:val="0"/>
                <w:sz w:val="21"/>
                <w:szCs w:val="21"/>
                <w:lang w:val="en-US" w:eastAsia="zh-CN"/>
              </w:rPr>
              <w:t>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辅导对绩效业务能力的提升情况</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提升</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保护人民生命财产安全</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满分100分，有效</w:t>
            </w:r>
            <w:r>
              <w:rPr>
                <w:rFonts w:hint="eastAsia" w:ascii="仿宋_GB2312" w:hAnsi="仿宋_GB2312" w:eastAsia="仿宋_GB2312" w:cs="仿宋_GB2312"/>
                <w:i w:val="0"/>
                <w:color w:val="000000"/>
                <w:kern w:val="0"/>
                <w:sz w:val="21"/>
                <w:szCs w:val="21"/>
                <w:u w:val="none"/>
                <w:lang w:val="en-US" w:eastAsia="zh-CN" w:bidi="ar"/>
              </w:rPr>
              <w:t>保护人民生命财产安全得满分，未能有效保证保护人民生命财产安全扣20分。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该指标主要考核项目实施能否保护生命财产安全。</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有效保障</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出勤通知、出勤任务记录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社会服务能力提升</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w:t>
            </w:r>
            <w:r>
              <w:rPr>
                <w:rFonts w:hint="eastAsia" w:ascii="仿宋_GB2312" w:hAnsi="仿宋_GB2312" w:eastAsia="仿宋_GB2312" w:cs="仿宋_GB2312"/>
                <w:i w:val="0"/>
                <w:color w:val="000000"/>
                <w:kern w:val="0"/>
                <w:sz w:val="21"/>
                <w:szCs w:val="21"/>
                <w:u w:val="none"/>
                <w:lang w:val="en-US" w:eastAsia="zh-CN" w:bidi="ar"/>
              </w:rPr>
              <w:t>明显提升临空经济区市容管理水平得满分，市容管理水平未能提升扣10分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提升临空经济区市容管理水平</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明显提升</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可持续影响</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扩大社会影响力</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满分100分，有效扩大临空区社会影响力得满分，未能充分提升社会影响力扣10分。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通过业务开展，政策宣传，不断扩大社会影响力</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扩大</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生态效益</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保障城市生态安全</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w:t>
            </w:r>
            <w:r>
              <w:rPr>
                <w:rFonts w:hint="eastAsia" w:ascii="仿宋_GB2312" w:hAnsi="仿宋_GB2312" w:eastAsia="仿宋_GB2312" w:cs="仿宋_GB2312"/>
                <w:i w:val="0"/>
                <w:color w:val="000000"/>
                <w:kern w:val="0"/>
                <w:sz w:val="21"/>
                <w:szCs w:val="21"/>
                <w:u w:val="none"/>
                <w:lang w:val="en-US" w:eastAsia="zh-CN" w:bidi="ar"/>
              </w:rPr>
              <w:t>有效防治城市内涝、保障城市生态安全得满分，非极特殊天气任未能防治城市内涝扣20分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有效防治城市内涝、保障城市生态安全</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文字描述</w:t>
            </w:r>
          </w:p>
        </w:tc>
        <w:tc>
          <w:tcPr>
            <w:tcW w:w="364"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促进作用</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专家评审会会议纪要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满意度</w:t>
            </w: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职工满意度</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满分100分，满意度达到95%得满分，85-94%扣10分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职工对制度创新综合研究项目完成情况的满意程度</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95.00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相关部门满意度</w:t>
            </w:r>
          </w:p>
        </w:tc>
        <w:tc>
          <w:tcPr>
            <w:tcW w:w="131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满分100分，满意度达到90%得满分，80-89%扣10分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相关部门部门满意率</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科室满意度</w:t>
            </w:r>
          </w:p>
        </w:tc>
        <w:tc>
          <w:tcPr>
            <w:tcW w:w="131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满分100分，满意度达到90%得满分，80-89%扣10分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相关科室对本次项目满意度</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走访调查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消防队员满意度</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满分100分，满意度达到90%得满分，80-89%扣10分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该指标主要考核消防队员对于所采购消防车辆的满意情况。</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90%消防队员认为满意即视为合格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企业满意度</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满分100分，</w:t>
            </w:r>
            <w:r>
              <w:rPr>
                <w:rFonts w:hint="eastAsia" w:ascii="仿宋_GB2312" w:hAnsi="仿宋_GB2312" w:eastAsia="仿宋_GB2312" w:cs="仿宋_GB2312"/>
                <w:color w:val="000000"/>
                <w:sz w:val="21"/>
                <w:szCs w:val="21"/>
                <w:lang w:eastAsia="zh-CN"/>
              </w:rPr>
              <w:t>企业</w:t>
            </w:r>
            <w:r>
              <w:rPr>
                <w:rFonts w:hint="eastAsia" w:ascii="仿宋_GB2312" w:hAnsi="仿宋_GB2312" w:eastAsia="仿宋_GB2312" w:cs="仿宋_GB2312"/>
                <w:kern w:val="0"/>
                <w:sz w:val="21"/>
                <w:szCs w:val="21"/>
              </w:rPr>
              <w:t>对</w:t>
            </w:r>
            <w:r>
              <w:rPr>
                <w:rFonts w:hint="eastAsia" w:ascii="仿宋_GB2312" w:hAnsi="仿宋_GB2312" w:eastAsia="仿宋_GB2312" w:cs="仿宋_GB2312"/>
                <w:kern w:val="0"/>
                <w:sz w:val="21"/>
                <w:szCs w:val="21"/>
                <w:lang w:eastAsia="zh-CN"/>
              </w:rPr>
              <w:t>审批服务</w:t>
            </w:r>
            <w:r>
              <w:rPr>
                <w:rFonts w:hint="eastAsia" w:ascii="仿宋_GB2312" w:hAnsi="仿宋_GB2312" w:eastAsia="仿宋_GB2312" w:cs="仿宋_GB2312"/>
                <w:kern w:val="0"/>
                <w:sz w:val="21"/>
                <w:szCs w:val="21"/>
              </w:rPr>
              <w:t>满意度</w:t>
            </w:r>
            <w:r>
              <w:rPr>
                <w:rFonts w:hint="eastAsia" w:ascii="仿宋_GB2312" w:hAnsi="仿宋_GB2312" w:eastAsia="仿宋_GB2312" w:cs="仿宋_GB2312"/>
                <w:kern w:val="0"/>
                <w:sz w:val="21"/>
                <w:szCs w:val="21"/>
                <w:lang w:val="en-US" w:eastAsia="zh-CN"/>
              </w:rPr>
              <w:t>≥95%得满分，85%-95%扣10分，85%以下扣20分。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企业对审批服务的满意程度</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95.00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满意度</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满分100分，</w:t>
            </w:r>
            <w:r>
              <w:rPr>
                <w:rFonts w:hint="eastAsia" w:ascii="仿宋_GB2312" w:hAnsi="仿宋_GB2312" w:eastAsia="仿宋_GB2312" w:cs="仿宋_GB2312"/>
                <w:color w:val="000000"/>
                <w:sz w:val="21"/>
                <w:szCs w:val="21"/>
                <w:lang w:eastAsia="zh-CN"/>
              </w:rPr>
              <w:t>服务对象对体系报告的</w:t>
            </w:r>
            <w:r>
              <w:rPr>
                <w:rFonts w:hint="eastAsia" w:ascii="仿宋_GB2312" w:hAnsi="仿宋_GB2312" w:eastAsia="仿宋_GB2312" w:cs="仿宋_GB2312"/>
                <w:kern w:val="0"/>
                <w:sz w:val="21"/>
                <w:szCs w:val="21"/>
              </w:rPr>
              <w:t>满意度</w:t>
            </w:r>
            <w:r>
              <w:rPr>
                <w:rFonts w:hint="eastAsia" w:ascii="仿宋_GB2312" w:hAnsi="仿宋_GB2312" w:eastAsia="仿宋_GB2312" w:cs="仿宋_GB2312"/>
                <w:kern w:val="0"/>
                <w:sz w:val="21"/>
                <w:szCs w:val="21"/>
                <w:lang w:val="en-US" w:eastAsia="zh-CN"/>
              </w:rPr>
              <w:t>≥90%得满分，80%-90%扣10分，70%以下扣20分</w:t>
            </w:r>
          </w:p>
        </w:tc>
        <w:tc>
          <w:tcPr>
            <w:tcW w:w="865"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eastAsia="zh-CN"/>
              </w:rPr>
              <w:t>服务对象对</w:t>
            </w:r>
            <w:r>
              <w:rPr>
                <w:rFonts w:hint="eastAsia" w:ascii="仿宋_GB2312" w:hAnsi="仿宋_GB2312" w:eastAsia="仿宋_GB2312" w:cs="仿宋_GB2312"/>
                <w:kern w:val="0"/>
                <w:sz w:val="21"/>
                <w:szCs w:val="21"/>
              </w:rPr>
              <w:t>产业综合服务体系编</w:t>
            </w:r>
            <w:r>
              <w:rPr>
                <w:rFonts w:hint="eastAsia" w:ascii="仿宋_GB2312" w:hAnsi="仿宋_GB2312" w:eastAsia="仿宋_GB2312" w:cs="仿宋_GB2312"/>
                <w:kern w:val="0"/>
                <w:sz w:val="21"/>
                <w:szCs w:val="21"/>
                <w:lang w:eastAsia="zh-CN"/>
              </w:rPr>
              <w:t>制满意度</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283" w:type="pct"/>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267" w:type="pct"/>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p>
        </w:tc>
        <w:tc>
          <w:tcPr>
            <w:tcW w:w="7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服务对象满意度</w:t>
            </w:r>
          </w:p>
        </w:tc>
        <w:tc>
          <w:tcPr>
            <w:tcW w:w="1313" w:type="pc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满分100分，</w:t>
            </w:r>
            <w:r>
              <w:rPr>
                <w:rFonts w:hint="eastAsia" w:ascii="仿宋_GB2312" w:hAnsi="仿宋_GB2312" w:eastAsia="仿宋_GB2312" w:cs="仿宋_GB2312"/>
                <w:color w:val="000000"/>
                <w:sz w:val="21"/>
                <w:szCs w:val="21"/>
                <w:lang w:eastAsia="zh-CN"/>
              </w:rPr>
              <w:t>服务对象对三方</w:t>
            </w:r>
            <w:r>
              <w:rPr>
                <w:rFonts w:hint="eastAsia" w:ascii="仿宋_GB2312" w:hAnsi="仿宋_GB2312" w:eastAsia="仿宋_GB2312" w:cs="仿宋_GB2312"/>
                <w:kern w:val="0"/>
                <w:sz w:val="21"/>
                <w:szCs w:val="21"/>
              </w:rPr>
              <w:t>满意度</w:t>
            </w:r>
            <w:r>
              <w:rPr>
                <w:rFonts w:hint="eastAsia" w:ascii="仿宋_GB2312" w:hAnsi="仿宋_GB2312" w:eastAsia="仿宋_GB2312" w:cs="仿宋_GB2312"/>
                <w:kern w:val="0"/>
                <w:sz w:val="21"/>
                <w:szCs w:val="21"/>
                <w:lang w:val="en-US" w:eastAsia="zh-CN"/>
              </w:rPr>
              <w:t>≥90%得满分，80%-90%扣10分，70%以下扣20分</w:t>
            </w:r>
          </w:p>
        </w:tc>
        <w:tc>
          <w:tcPr>
            <w:tcW w:w="86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服务对象对第三方培训工作满意度</w:t>
            </w:r>
          </w:p>
        </w:tc>
        <w:tc>
          <w:tcPr>
            <w:tcW w:w="210"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36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90.00</w:t>
            </w:r>
          </w:p>
        </w:tc>
        <w:tc>
          <w:tcPr>
            <w:tcW w:w="245"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p>
        </w:tc>
        <w:tc>
          <w:tcPr>
            <w:tcW w:w="71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计划标准</w:t>
            </w:r>
          </w:p>
        </w:tc>
      </w:tr>
    </w:tbl>
    <w:p>
      <w:pPr>
        <w:spacing w:line="584" w:lineRule="exact"/>
        <w:rPr>
          <w:rFonts w:ascii="仿宋_GB2312" w:eastAsia="仿宋_GB2312" w:cs="Times New Roman"/>
          <w:sz w:val="32"/>
          <w:szCs w:val="32"/>
        </w:rPr>
        <w:sectPr>
          <w:footerReference r:id="rId4" w:type="first"/>
          <w:footerReference r:id="rId3" w:type="default"/>
          <w:pgSz w:w="16838" w:h="11906" w:orient="landscape"/>
          <w:pgMar w:top="1800" w:right="1440" w:bottom="1800" w:left="1440" w:header="851" w:footer="992" w:gutter="0"/>
          <w:pgNumType w:fmt="numberInDash" w:start="1"/>
          <w:cols w:space="720" w:num="1"/>
          <w:titlePg/>
          <w:docGrid w:type="lines" w:linePitch="312" w:charSpace="0"/>
        </w:sect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0" w:name="_Toc_4_4_0000000004"/>
      <w:r>
        <w:rPr>
          <w:rFonts w:ascii="Times New Roman" w:hAnsi="Times New Roman" w:eastAsia="方正仿宋_GBK" w:cs="方正仿宋_GBK"/>
          <w:color w:val="000000"/>
          <w:sz w:val="28"/>
        </w:rPr>
        <w:t>1.综合部办公经费绩效目标表</w:t>
      </w:r>
      <w:bookmarkEnd w:id="0"/>
    </w:p>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80"/>
        <w:gridCol w:w="2380"/>
        <w:gridCol w:w="2380"/>
        <w:gridCol w:w="3247"/>
        <w:gridCol w:w="1545"/>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绩效目标</w:t>
            </w:r>
          </w:p>
        </w:tc>
        <w:tc>
          <w:tcPr>
            <w:tcW w:w="111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1.保障临空经济区管委会工作正常开展。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三级指标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绩效指标描述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办公用品种类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购进办公用品种类数量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办公用品到位及时率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按规定时间到位办公用品占总购进办公用品数量的占比</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办公用品质量合格率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合格办公用品数量占总数的比例</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办公用品总成本</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购进办公用品总成本</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≤193.21万元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保障工作正常开展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保障临空经济区管委会工作顺利开展有序推进</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有效保障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职工满意度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职工对办公用品的满意度</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 w:name="_Toc_4_4_000000000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2.2021年新增费省级返还市县资金（25%部分，第一批）绩效目标表</w:t>
      </w:r>
      <w:bookmarkEnd w:id="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81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1.支付2021年造林绿化奖补资金</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eastAsia" w:eastAsia="方正书宋_GBK"/>
                <w:lang w:eastAsia="zh-CN"/>
              </w:rPr>
            </w:pPr>
            <w:r>
              <w:rPr>
                <w:rFonts w:hint="default"/>
              </w:rPr>
              <w:t>收取</w:t>
            </w:r>
            <w:r>
              <w:rPr>
                <w:rFonts w:hint="eastAsia"/>
                <w:lang w:eastAsia="zh-CN"/>
              </w:rPr>
              <w:t>收益</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向取得出让等有偿使用方式的政府收取的平均土地收益</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关于调整新增建设用地土地有偿使用费政策等问题的通知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按照核定的金额缴纳情况</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中华人民共和国土地管理法实施条例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各项目按时完成情况</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按照核定的时间完成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中华人民共和国土地管理法实施条例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耕地质量提升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提高耕地质量，实现耕地总量不减少</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中华人民共和国土地管理法实施条例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改善生态环境质量的同时实现耕地总量的动态平衡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有效改善</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中华人民共和国土地管理法实施条例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满意率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满意率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p>
    <w:p>
      <w:pPr>
        <w:spacing w:before="0" w:after="0"/>
        <w:ind w:firstLine="560"/>
        <w:jc w:val="left"/>
        <w:outlineLvl w:val="3"/>
        <w:rPr>
          <w:rFonts w:ascii="Times New Roman" w:hAnsi="Times New Roman"/>
        </w:rPr>
      </w:pPr>
      <w:bookmarkStart w:id="2" w:name="_Toc_4_4_0000000006"/>
      <w:r>
        <w:rPr>
          <w:rFonts w:ascii="Times New Roman" w:hAnsi="Times New Roman" w:eastAsia="方正仿宋_GBK" w:cs="方正仿宋_GBK"/>
          <w:color w:val="000000"/>
          <w:sz w:val="28"/>
        </w:rPr>
        <w:t>3.2022年专项债项目“一案两书”咨询服务费绩效目标表</w:t>
      </w:r>
      <w:bookmarkEnd w:id="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122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2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1.项目计划完成北京大兴国际机场临空经济区（廊坊）2022年地方政府专项债券项目的法律意见书咨询服务，编制专项债券项目法律意见书、实施方案和财务评价报告、事前绩效评估报告</w:t>
            </w:r>
            <w:r>
              <w:rPr>
                <w:rFonts w:hint="eastAsia" w:ascii="Times New Roman" w:hAnsi="Times New Roman"/>
                <w:lang w:eastAsia="zh-CN"/>
              </w:rPr>
              <w:t>，</w:t>
            </w:r>
            <w:r>
              <w:rPr>
                <w:rFonts w:hint="default" w:ascii="Times New Roman" w:hAnsi="Times New Roman"/>
              </w:rPr>
              <w:t>确保北京大兴国际机场临空经济区（廊坊）2022年地方政府专项债券项目发行成功</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项目计划完成北京大兴国际机场临空经济区（廊坊）2022年地方政府专项债券项目的法律意见书、实施方案和财务评价报告、事前绩效评估报告咨询服务，编制专项债券项目法律意见书、实施方案和财务评价报告、事前绩效评估报告</w:t>
            </w:r>
            <w:r>
              <w:rPr>
                <w:rFonts w:hint="eastAsia" w:ascii="Times New Roman" w:hAnsi="Times New Roman"/>
                <w:lang w:eastAsia="zh-CN"/>
              </w:rPr>
              <w:t>，</w:t>
            </w:r>
            <w:r>
              <w:rPr>
                <w:rFonts w:hint="default" w:ascii="Times New Roman" w:hAnsi="Times New Roman"/>
              </w:rPr>
              <w:t>确保北京大兴国际机场临空经济区（廊坊）2022年地方政府专项债券项目发行成功</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每项目“一案两书”数量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出具正式“一案两书”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12份</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依据指引编制“一案两书”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专项债券项目发行必要文件</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确保专项债券项目发行</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河北省财政厅关于修订印发&lt;河北省政府专项债券发行文件编制操作指引（试行）&gt;的通知》（冀财债〔2020〕67号）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签订合同之日起至发行公告止</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合同约定期限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服务费用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合同约定费用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87.1万元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意见建议采纳率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被采纳意见占总数量的比例</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使用单位满意率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通过问卷调查，反映满意的单位占调查单位数量之比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firstLineChars="200"/>
        <w:jc w:val="left"/>
        <w:outlineLvl w:val="3"/>
        <w:rPr>
          <w:rFonts w:ascii="Times New Roman" w:hAnsi="Times New Roman"/>
        </w:rPr>
      </w:pPr>
      <w:bookmarkStart w:id="3" w:name="_Toc_4_4_0000000007"/>
      <w:r>
        <w:rPr>
          <w:rFonts w:ascii="Times New Roman" w:hAnsi="Times New Roman" w:eastAsia="方正仿宋_GBK" w:cs="方正仿宋_GBK"/>
          <w:color w:val="000000"/>
          <w:sz w:val="28"/>
        </w:rPr>
        <w:t>4.</w:t>
      </w:r>
      <w:bookmarkEnd w:id="3"/>
      <w:r>
        <w:rPr>
          <w:rFonts w:hint="eastAsia" w:ascii="仿宋_GB2312" w:hAnsi="仿宋_GB2312" w:eastAsia="仿宋_GB2312" w:cs="仿宋_GB2312"/>
          <w:b w:val="0"/>
          <w:bCs/>
          <w:color w:val="auto"/>
          <w:sz w:val="28"/>
          <w:szCs w:val="28"/>
          <w:lang w:val="en-US" w:eastAsia="zh-CN"/>
        </w:rPr>
        <w:t>其他（涉密）项目</w:t>
      </w:r>
    </w:p>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p>
      <w:pPr>
        <w:spacing w:before="0" w:after="0"/>
        <w:ind w:firstLine="560"/>
        <w:jc w:val="left"/>
        <w:outlineLvl w:val="3"/>
        <w:rPr>
          <w:rFonts w:ascii="Times New Roman" w:hAnsi="Times New Roman" w:eastAsia="方正仿宋_GBK" w:cs="方正仿宋_GBK"/>
          <w:color w:val="000000"/>
          <w:sz w:val="28"/>
        </w:rPr>
      </w:pPr>
      <w:bookmarkStart w:id="4" w:name="_Toc_4_4_0000000008"/>
      <w:r>
        <w:rPr>
          <w:rFonts w:ascii="Times New Roman" w:hAnsi="Times New Roman" w:eastAsia="方正仿宋_GBK" w:cs="方正仿宋_GBK"/>
          <w:color w:val="000000"/>
          <w:sz w:val="28"/>
        </w:rPr>
        <w:t>5.</w:t>
      </w:r>
      <w:bookmarkEnd w:id="4"/>
      <w:bookmarkStart w:id="5" w:name="_Toc_4_4_0000000081"/>
      <w:r>
        <w:rPr>
          <w:rFonts w:ascii="Times New Roman" w:hAnsi="Times New Roman" w:eastAsia="方正仿宋_GBK" w:cs="方正仿宋_GBK"/>
          <w:color w:val="000000"/>
          <w:sz w:val="28"/>
        </w:rPr>
        <w:t>网络安全工作经费绩效目标表</w:t>
      </w:r>
      <w:bookmarkEnd w:id="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通过组织举办反诈及网络辟谣宣传，进一步提升群众防诈、不信谣、不传谣意识，全面筑牢反诈反谣的思想防线；通过加强网络安全、保密检查等工作的开展，及时有效解决反馈，提升临空形象；通过组织网络安全培训及应急演练，提升临空整体队伍网络安全防范意识，提高应急处置能力，筑牢网络信息安全屏障。</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2.廊坊临空经济区党政办公室作为廊坊临空经济区的对外宣传部门，强化网络安全监控服务机制，加强信息宣传管理，严格考核问效，推动临空经济区网络安全和反谣防诈工作取得更大成效。</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2335"/>
        <w:gridCol w:w="3666"/>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335"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66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网络安全培训及应急演练、宣传次数</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网络安全培训及应急演练、宣传活动次数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网络安全监控服务时长</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网络安全监控服务时长</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24小时</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网络安全培训及应急演练、宣传</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各项活动按要求成功举办率（%）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网络安全监控服务时长完成率</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网络安全监控服务时长完成率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各项活动完成及时性</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各项活动按照计划完成</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≤27.5万元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应急措施和反谣防诈</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被宣传人数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≥1000人次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3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群众满意度</w:t>
            </w:r>
          </w:p>
        </w:tc>
        <w:tc>
          <w:tcPr>
            <w:tcW w:w="366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群众对宣传活动效果满意度（%）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ind w:firstLine="560"/>
        <w:jc w:val="left"/>
        <w:outlineLvl w:val="3"/>
        <w:rPr>
          <w:rFonts w:ascii="Times New Roman" w:hAnsi="Times New Roman"/>
        </w:rPr>
      </w:pPr>
      <w:bookmarkStart w:id="6" w:name="_Toc_4_4_0000000009"/>
      <w:r>
        <w:rPr>
          <w:rFonts w:ascii="Times New Roman" w:hAnsi="Times New Roman" w:eastAsia="方正仿宋_GBK" w:cs="方正仿宋_GBK"/>
          <w:color w:val="000000"/>
          <w:sz w:val="28"/>
        </w:rPr>
        <w:t>6.北京大兴机场综保区通关效率提升及联络道联通空侧实施方案研究费用绩效目标表</w:t>
      </w:r>
      <w:bookmarkEnd w:id="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0"/>
        <w:gridCol w:w="122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1.支付北京大兴机场综保区通关效率提升及联络道空侧实施方案研究费用。</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实施方案</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综保区通关效率提升及联络道联通空侧实施方案</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＝1个</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实施方案研究费用</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所支付费用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≤28.3万元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综保区建设正常开展</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有效保障综保区建设正常开展</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资金支付及时性</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资金支付及时性</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扩大社会影响力</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通过业务开展，优化综保区营商环境和通关效率。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扩大</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拉动经济效益</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通关业务开展，拉动综保区经济效益</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拉动</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职工对临空经济区发展的满意程度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≥0.95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 w:name="_Toc_4_4_000000001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7.财政综合改革经费绩效目标表</w:t>
      </w:r>
      <w:bookmarkEnd w:id="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5"/>
        <w:gridCol w:w="122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5"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5" w:type="dxa"/>
            <w:tcBorders>
              <w:bottom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Times New Roman" w:hAnsi="Times New Roman" w:eastAsia="方正书宋_GBK"/>
                <w:lang w:eastAsia="zh-CN"/>
              </w:rPr>
            </w:pPr>
            <w:r>
              <w:rPr>
                <w:rFonts w:hint="default" w:ascii="Times New Roman" w:hAnsi="Times New Roman"/>
              </w:rPr>
              <w:t>1.全面建成全方位、全过程、全覆盖的预算绩效管理体系，形成制度完善、管理规范、运转高效的预算绩效管理机制。</w:t>
            </w:r>
            <w:r>
              <w:rPr>
                <w:rFonts w:hint="default" w:ascii="Times New Roman" w:hAnsi="Times New Roman"/>
              </w:rPr>
              <w:tab/>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rPr>
            </w:pPr>
            <w:r>
              <w:rPr>
                <w:rFonts w:hint="default" w:ascii="Times New Roman" w:hAnsi="Times New Roman"/>
              </w:rPr>
              <w:t>2.全面建成全方位、全过程、全覆盖的预算绩效管理体系；对临空经济区部门进行全覆盖培训，确保我区预算绩效管理水平整体提升，对我区不少于30个重点项目进行事前绩效评估、绩效目标审核、绩效执行监控、绩效预算评价进行全过程管理，将评估结果、审核结果、监控结果、评价结果应用到部门预算编制、调整与考核中。</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2064"/>
        <w:gridCol w:w="2786"/>
        <w:gridCol w:w="3798"/>
        <w:gridCol w:w="1598"/>
        <w:gridCol w:w="2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206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78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79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59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00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辅导参加部门数量</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当年参加辅导部门数量</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≥9个</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全过程管理重点项目数量</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全过程管理重点项目数量</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≥20个</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786"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参与培训人员</w:t>
            </w:r>
            <w:r>
              <w:rPr>
                <w:rFonts w:hint="eastAsia" w:ascii="Times New Roman" w:hAnsi="Times New Roman"/>
                <w:lang w:eastAsia="zh-CN"/>
              </w:rPr>
              <w:t>数量</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当年参加预算绩效培训人数</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≥25人</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辅导合格率</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辅导合格率=辅导合格的学员数量/辅导总学员数量*100%</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未按时完成一对一项目辅导数量</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未按时完成一对一项目辅导数量</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预算绩效改革</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预算绩效改革辅导标准控制情况</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≤128.73万元</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投资评审成本控制</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投资评审预（决）算成本控制</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≤30万元</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评价单位满意度</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对评价工作的满意度</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成果应用率</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得以应用的绩效评估（评价）结果占绩效评估（评价）总数的比率</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业务保障能力提升情况</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辅导对业务报账能力的提升情况</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20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78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37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服务对象对第三方培训工作满意度</w:t>
            </w:r>
          </w:p>
        </w:tc>
        <w:tc>
          <w:tcPr>
            <w:tcW w:w="159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0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bl>
    <w:p>
      <w:pPr>
        <w:spacing w:before="0" w:after="0"/>
        <w:ind w:firstLine="560"/>
        <w:jc w:val="left"/>
        <w:outlineLvl w:val="3"/>
        <w:rPr>
          <w:rFonts w:ascii="Times New Roman" w:hAnsi="Times New Roman"/>
        </w:rPr>
      </w:pPr>
      <w:bookmarkStart w:id="8" w:name="_Toc_4_4_0000000011"/>
      <w:r>
        <w:rPr>
          <w:rFonts w:ascii="Times New Roman" w:hAnsi="Times New Roman" w:eastAsia="方正仿宋_GBK" w:cs="方正仿宋_GBK"/>
          <w:color w:val="000000"/>
          <w:sz w:val="28"/>
        </w:rPr>
        <w:t>8.产业综合服务体系编制费绩效目标表</w:t>
      </w:r>
      <w:bookmarkEnd w:id="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1"/>
        <w:gridCol w:w="122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2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完成临空经济区产业综合服务体系编制，形成临空经济区产业综合服务体系建设导则、临空经济区产业综合服务网格化管理体系办法、临空经济区产业综合服务品牌打造方案，进一步优化临空经济区产业服务和营商环境优化，推进临空经济区产业高质量可持续发展。</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2.完成临空经济区产业综合服务体系编制，形成临空经济区产业综合服务体系建设导则、临空经济区产业综合服务网格化管理体系办法、临空经济区产业综合服务品牌打造方案。</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体系报告</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形成产业综合服务体系</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体系编制完成及时率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按合同计划时间完成规划编制的占比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体系成果合格率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临空经济区产业综合服务体系合格率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形成廊坊临空经济区产业综合服务体系</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保证廊坊临空经济区产业发展可持续高质量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为企业提供协调管理、投资运营、创新创业等服务保障。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有效年限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体系方案具有效果的年限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9" w:name="_Toc_4_4_0000000012"/>
      <w:r>
        <w:rPr>
          <w:rFonts w:ascii="Times New Roman" w:hAnsi="Times New Roman" w:eastAsia="方正仿宋_GBK" w:cs="方正仿宋_GBK"/>
          <w:color w:val="000000"/>
          <w:sz w:val="28"/>
        </w:rPr>
        <w:t>9.城市规划设计专家评审费绩效目标表</w:t>
      </w:r>
      <w:bookmarkEnd w:id="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1" w:hRule="atLeast"/>
          <w:jc w:val="center"/>
        </w:trPr>
        <w:tc>
          <w:tcPr>
            <w:tcW w:w="1818" w:type="dxa"/>
            <w:tcBorders>
              <w:bottom w:val="single" w:color="auto" w:sz="4" w:space="0"/>
              <w:right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2" w:type="dxa"/>
            <w:tcBorders>
              <w:left w:val="single" w:color="auto" w:sz="4" w:space="0"/>
              <w:bottom w:val="single" w:color="auto" w:sz="4" w:space="0"/>
            </w:tcBorders>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rPr>
            </w:pPr>
            <w:r>
              <w:rPr>
                <w:rFonts w:hint="default" w:ascii="Times New Roman" w:hAnsi="Times New Roman"/>
              </w:rPr>
              <w:t>1.保障规划编制的前瞻性和规划管理的科学性</w:t>
            </w:r>
            <w:r>
              <w:rPr>
                <w:rFonts w:hint="eastAsia" w:ascii="Times New Roman" w:hAnsi="Times New Roman"/>
                <w:lang w:eastAsia="zh-CN"/>
              </w:rPr>
              <w:t>，</w:t>
            </w:r>
            <w:r>
              <w:rPr>
                <w:rFonts w:hint="default" w:ascii="Times New Roman" w:hAnsi="Times New Roman"/>
              </w:rPr>
              <w:t>加强对规划建设工作的智力支持。</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rPr>
            </w:pPr>
            <w:r>
              <w:rPr>
                <w:rFonts w:hint="default" w:ascii="Times New Roman" w:hAnsi="Times New Roman"/>
              </w:rPr>
              <w:t>2.全年组织12次专家评审，保障规划编制的前瞻性和规划管理的科学性</w:t>
            </w:r>
            <w:r>
              <w:rPr>
                <w:rFonts w:hint="eastAsia" w:ascii="Times New Roman" w:hAnsi="Times New Roman"/>
                <w:lang w:eastAsia="zh-CN"/>
              </w:rPr>
              <w:t>，</w:t>
            </w:r>
            <w:r>
              <w:rPr>
                <w:rFonts w:hint="default" w:ascii="Times New Roman" w:hAnsi="Times New Roman"/>
              </w:rPr>
              <w:t>加强对规划建设工作的智力支持。</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专家评审签到表数量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专家评审办结率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[办结数量/申请数量]×100%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项目完成及时情况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专家评审标准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专家评审执行标准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规划科学合理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保障规划编制的前瞻性和规划管理的科学性</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临空区专业技术人员对专家评审过程的满意度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走访调研</w:t>
            </w:r>
          </w:p>
        </w:tc>
      </w:tr>
    </w:tbl>
    <w:p>
      <w:pPr>
        <w:spacing w:before="0" w:after="0" w:line="240" w:lineRule="auto"/>
        <w:ind w:firstLine="0"/>
        <w:jc w:val="center"/>
        <w:outlineLvl w:val="9"/>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10" w:name="_Toc_4_4_0000000013"/>
      <w:r>
        <w:rPr>
          <w:rFonts w:ascii="Times New Roman" w:hAnsi="Times New Roman" w:eastAsia="方正仿宋_GBK" w:cs="方正仿宋_GBK"/>
          <w:color w:val="000000"/>
          <w:sz w:val="28"/>
        </w:rPr>
        <w:t>10.城市环境综合整治提升年活动资金绩效目标表</w:t>
      </w:r>
      <w:bookmarkEnd w:id="1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2"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1.提升城市综合竞争力，改善城市形象、擦亮城市名片、规范市容秩序。全力塑造整洁优美的城市的环境和良好的对外形象。助力建设世界一流航空城。</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为营造临空经济区整洁优美的城市环境和浓厚的文化氛围，2022年计划开展城市环境综合整治提升行动。重点内容包括城市形象展示宣传；建设农贸市场、临时停车场、微型消防站；三边（树边、路边、田边）绿化和闲置地块规划利用。</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2168"/>
        <w:gridCol w:w="3833"/>
        <w:gridCol w:w="2513"/>
        <w:gridCol w:w="1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16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83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25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9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建设农贸市场数量</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建设农贸市场数量</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4处</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修建临时停车场数量</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修建临时停车场数量</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6处</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建设微型消防站数量</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建设微型消防站数量</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3处</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三边绿化率</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三边绿化面积占总面积的比率</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闲置地块利用率</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规划利用的闲置地块占总闲置地块的比率</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宣传计划完成率</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实际完成的项目数量占计划完成数量的比率</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反映验收合格符合质量合格证书和验收成果的占比</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完成及时率</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按计划及时完成</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≥98%</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≤480.33万元</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扩大社会影响力</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通过业务开展，不断扩大临空经济区（廊坊片区）社会影响力</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通过业务开展，不断扩大临空经济区（廊坊片区）社会影响力</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16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群众满意度</w:t>
            </w:r>
          </w:p>
        </w:tc>
        <w:tc>
          <w:tcPr>
            <w:tcW w:w="38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调查中满意和较满意群众数量占调查总人数的比率</w:t>
            </w:r>
          </w:p>
        </w:tc>
        <w:tc>
          <w:tcPr>
            <w:tcW w:w="25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9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调查表</w:t>
            </w:r>
          </w:p>
        </w:tc>
      </w:tr>
    </w:tbl>
    <w:p>
      <w:pPr>
        <w:spacing w:before="0" w:after="0"/>
        <w:ind w:firstLine="560"/>
        <w:jc w:val="left"/>
        <w:outlineLvl w:val="3"/>
        <w:rPr>
          <w:rFonts w:ascii="Times New Roman" w:hAnsi="Times New Roman"/>
        </w:rPr>
      </w:pPr>
      <w:bookmarkStart w:id="11" w:name="_Toc_4_4_0000000014"/>
      <w:r>
        <w:rPr>
          <w:rFonts w:ascii="Times New Roman" w:hAnsi="Times New Roman" w:eastAsia="方正仿宋_GBK" w:cs="方正仿宋_GBK"/>
          <w:color w:val="000000"/>
          <w:sz w:val="28"/>
        </w:rPr>
        <w:t>11.创新服务产业园区基础设施建设项目工程前期费绩效目标表</w:t>
      </w:r>
      <w:bookmarkEnd w:id="1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1.通过该项目的实施确保2022年北京大兴国际机场临空经济区（廊坊）专项债券项目成功申报，提升区域社会影响力、区域价值，促进区域基础设施建设顺利开展。</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2.河北省2022年专项债券提前批申请工作迫在眉睫，项目实施后将为北京大兴国际机场临空经济区（廊坊）基础建设项目专项债券申报工作提供支持，为确保工程顺利实施，急需费用落实该项目。</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评估报告数量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反映形成评估报告数量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取得主管部门批复</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反映项目完成时间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2022年1月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项目预算控制率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实际项目成本/项目预算数*100%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促进区域基础设施建设顺利开展</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通过本项目带动专项债券落地，促进区域基础设施建设顺利开展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促进开发建设</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带动临空区经济发展</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通过本项目促进专项债券落地，带动临空区经济发展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带动经济发展</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2" w:name="_Toc_4_4_000000001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12.档案标准化管理及运行资金绩效目标表</w:t>
      </w:r>
      <w:bookmarkEnd w:id="1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2" w:type="dxa"/>
            <w:vAlign w:val="center"/>
          </w:tcPr>
          <w:p>
            <w:pPr>
              <w:pStyle w:val="21"/>
              <w:keepNext w:val="0"/>
              <w:keepLines w:val="0"/>
              <w:numPr>
                <w:ilvl w:val="0"/>
                <w:numId w:val="2"/>
              </w:numPr>
              <w:suppressLineNumbers w:val="0"/>
              <w:spacing w:before="0" w:beforeAutospacing="0" w:after="0" w:afterAutospacing="0"/>
              <w:ind w:left="0" w:right="0"/>
              <w:rPr>
                <w:rFonts w:hint="eastAsia" w:ascii="Times New Roman" w:hAnsi="Times New Roman"/>
              </w:rPr>
            </w:pPr>
            <w:r>
              <w:rPr>
                <w:rFonts w:hint="eastAsia" w:ascii="Times New Roman" w:hAnsi="Times New Roman"/>
              </w:rPr>
              <w:t>通过基础档案数据建设项目的开展，实现档案标准化、规范化管理，全面推进局机关档案工作规范化、现代化建设。确保档案室顺利达标，达到全省领先水平，形成自己的特色，努力使档案管理工作迈上一个新的台阶，不断推进档案工作持续深入健康发展。</w:t>
            </w:r>
          </w:p>
          <w:p>
            <w:pPr>
              <w:pStyle w:val="21"/>
              <w:keepNext w:val="0"/>
              <w:keepLines w:val="0"/>
              <w:numPr>
                <w:ilvl w:val="0"/>
                <w:numId w:val="2"/>
              </w:numPr>
              <w:suppressLineNumbers w:val="0"/>
              <w:spacing w:before="0" w:beforeAutospacing="0" w:after="0" w:afterAutospacing="0"/>
              <w:ind w:left="0" w:right="0"/>
              <w:rPr>
                <w:rFonts w:hint="eastAsia" w:ascii="Times New Roman" w:hAnsi="Times New Roman"/>
              </w:rPr>
            </w:pPr>
            <w:r>
              <w:rPr>
                <w:rFonts w:hint="eastAsia" w:ascii="Times New Roman" w:hAnsi="Times New Roman"/>
              </w:rPr>
              <w:t>通过项目的开展完成基础档案数据建设项目，实现北京大兴国际机场临空经济区（廊坊）管理委员会档案的信息化建设，提高档案利用效率。</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购进国产化档案管理系统数量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购进国产化档案管理系统数量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购进服务器数量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购进服务器数量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1台</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档案扫描数量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档案扫描页数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≥320000页</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制作原文数据库数量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制作原文数据库数量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纸质资料归档数量合格率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考察整理完成的档案是否符合档案整理规范的情况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购进设备质量合格率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设备质量合格数量占总数量的占比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档案归档及时率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档案归档及时率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档案管理系统使用年限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档案管理系统使用年限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相关人员满意度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档案存放部门满意度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13" w:name="_Toc_4_4_0000000016"/>
      <w:r>
        <w:rPr>
          <w:rFonts w:ascii="Times New Roman" w:hAnsi="Times New Roman" w:eastAsia="方正仿宋_GBK" w:cs="方正仿宋_GBK"/>
          <w:color w:val="000000"/>
          <w:sz w:val="28"/>
        </w:rPr>
        <w:t>13.地方政府专项债券项目咨询费绩效目标表</w:t>
      </w:r>
      <w:bookmarkEnd w:id="1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8"/>
        <w:gridCol w:w="122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1.用于支付地方政府</w:t>
            </w:r>
            <w:r>
              <w:rPr>
                <w:rFonts w:hint="eastAsia" w:ascii="Times New Roman" w:hAnsi="Times New Roman"/>
                <w:lang w:eastAsia="zh-CN"/>
              </w:rPr>
              <w:t>专项</w:t>
            </w:r>
            <w:r>
              <w:rPr>
                <w:rFonts w:hint="default" w:ascii="Times New Roman" w:hAnsi="Times New Roman"/>
              </w:rPr>
              <w:t>债务项目咨询费。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两个项目“一案两书”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两个项目“一案两书”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≥2组</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两个项目“一案两书”内容符合专项债券申报要求</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两个项目“一案两书”内容符合河北省专项债券申报要求</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合格</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根据河北省财政厅要求时间节点编制“一案两书”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根据河北省财政厅要求时间节点编制“一案两书”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咨询费</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咨询费</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≤53.18万元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提升社会影响力</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专项债券资金获得审批，促进地区基础设施建设</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影响力</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提升地区基础设施服务能力</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项目获得充足建设资金</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价值</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发展可持续</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提升区域发展可持续能力</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可持续发展</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根据项目实际情况确定</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14" w:name="_Toc_4_4_0000000017"/>
      <w:r>
        <w:rPr>
          <w:rFonts w:ascii="Times New Roman" w:hAnsi="Times New Roman" w:eastAsia="方正仿宋_GBK" w:cs="方正仿宋_GBK"/>
          <w:color w:val="000000"/>
          <w:sz w:val="28"/>
        </w:rPr>
        <w:t>14.法律咨询服务费绩效目标表</w:t>
      </w:r>
      <w:bookmarkEnd w:id="1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0"/>
        <w:gridCol w:w="122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3" w:hRule="atLeast"/>
          <w:jc w:val="center"/>
        </w:trPr>
        <w:tc>
          <w:tcPr>
            <w:tcW w:w="18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0"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1.通过法律咨询服务，为临空区各项工作提供法律保障，可以促进临空经济区各项工作合法合规性开展。</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2.通过法律咨询服务，为临空区各项工作提供法律保障，可以促进临空经济区各项工作合法合规性开展。</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法律服务机构数量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聘请法律服务机构数量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法律咨询服务覆盖率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法律咨询服务覆盖率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法律咨询服务期限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法律咨询服务期限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法律顾问服务费用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法律顾问服务费用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提高各项工作的合法合规性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通过法律咨询服务，有效提高各项工作的合法合规性</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部门满意度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各部门对临空经济区工作的满意度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5" w:name="_Toc_4_4_000000001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15.防空专项规划编制费绩效目标表</w:t>
      </w:r>
      <w:bookmarkEnd w:id="1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1.保证廊坊临空经济区域内防空专项规划编制完成。</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2.编制完成临空经济区防空专项规划指导后续临空人防工程建设。</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规划编制完成及时率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按合同计划时间完成规划编制的占比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规划成果合格率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廊坊临空经济区域内防空专项规划合格率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廊坊临空经济区防空规划安全级别</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保证廊坊临空经济区防空持续有效，保障人民生产生活安全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防常规武器抗力级别5级；防核武器抗力级别5级</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《人民防空地下室设计规范》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规划有效年限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规划方案具有防控效果的年限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《人民防空地下室设计规范》</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6" w:name="_Toc_4_4_000000001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16.高端制造产业园区基础设施建设项目工程前期费绩效目标表</w:t>
      </w:r>
      <w:bookmarkEnd w:id="1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1.通过该项目的实施确保2022年北京大兴国际机场临空经济区（廊坊）专项债券项目成功申报，提升区域社会影响力、区域价值，促进区域基础设施建设顺利开展。</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2.河北省2022年专项债券提前批申请工作迫在眉睫，项目实施后将为北京大兴国际机场临空经济区（廊坊）基础建设项目专项债券申报工作提供支持，为确保工程顺利实施，急需费用落实该项目。</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评估报告数量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反映形成评估报告数量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取得主管部门批复</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反映项目完成时间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2022年1月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项目预算控制率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实际项目成本/项目预算数*100%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促进区域基础设施建设顺利开展</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通过本项目带动专项债券落地，促进区域基础设施建设顺利开展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促进开发建设</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带动临空区经济发展</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通过本项目促进专项债券落地，带动临空区经济发展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带动经济发展</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7" w:name="_Toc_4_4_000000002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17.工程监督管理专家抽查费绩效目标表</w:t>
      </w:r>
      <w:bookmarkEnd w:id="1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1.通过项目的开展，切实提高房屋建筑和市政基础设施工程质量安全，保障人民群众的生命财产安全。</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2.通过聘请专家协助实施工程质量安全监督，确保工程质量安全。</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682"/>
        <w:gridCol w:w="4319"/>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68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31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聘请人次</w:t>
            </w:r>
          </w:p>
        </w:tc>
        <w:tc>
          <w:tcPr>
            <w:tcW w:w="4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每次检查聘请专家3人，0.5天检查一个项目</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&lt;84人/次（0.5天）</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抽查成果报告份数</w:t>
            </w:r>
          </w:p>
        </w:tc>
        <w:tc>
          <w:tcPr>
            <w:tcW w:w="4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抽查成果报告份数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≥3份</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抽查工程覆盖面</w:t>
            </w:r>
          </w:p>
        </w:tc>
        <w:tc>
          <w:tcPr>
            <w:tcW w:w="4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被抽查工程覆盖数量/工程总数*100%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抽查结果反馈及时率</w:t>
            </w:r>
          </w:p>
        </w:tc>
        <w:tc>
          <w:tcPr>
            <w:tcW w:w="4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抽查结果反馈及时率（规定时间内反馈报告数/总抽查报告数*100%）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聘请专家费用</w:t>
            </w:r>
          </w:p>
        </w:tc>
        <w:tc>
          <w:tcPr>
            <w:tcW w:w="4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聘请专家费用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0.06万元/人/次（0.5天）</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保障施工安全、工程质量</w:t>
            </w:r>
          </w:p>
        </w:tc>
        <w:tc>
          <w:tcPr>
            <w:tcW w:w="4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通过协助实施工程质量安全监督，保障施工安全、工程质量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抽查成果报告使用者满意度</w:t>
            </w:r>
          </w:p>
        </w:tc>
        <w:tc>
          <w:tcPr>
            <w:tcW w:w="4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城市建设服务中心对第专家服务的满意程度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城市建设服务中心评价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8" w:name="_Toc_4_4_0000000021"/>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18.工程质量安全监督设备购置费绩效目标表</w:t>
      </w:r>
      <w:bookmarkEnd w:id="1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1.通过项目的开展，切实提高房屋建筑和市政基础设施工程质量和施工安全，保障人民群众的生命财产安全。</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2.通过项目开展，确保工程质量安全监督管理有效实施。</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2319"/>
        <w:gridCol w:w="3682"/>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31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68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设备购置数量</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数字回弹仪及执法记录仪总数量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专用工具购置数量</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游标卡尺、安全帽总数量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≥14个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仪器、设备到位率</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仪器、设备到位率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购置仪器、设备合格率</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购置仪器、设备合格率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仪器、设备到位及时性</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仪器、设备到位及时性</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及时购置</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控制仪器、设备成本</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控制仪器、设备成本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≤3.5万元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营造稳定的社会环境</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保障工程质量、施工安全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31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仪器、设备使用者的满意度</w:t>
            </w:r>
          </w:p>
        </w:tc>
        <w:tc>
          <w:tcPr>
            <w:tcW w:w="36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城市建设服务中心对仪器、设备使用者的满意度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9" w:name="_Toc_4_4_0000000022"/>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19.关于下达2021年新增费省级返还市县资金（25%部分，第二批）的通知（廊财建[2021]107号）绩效目标表</w:t>
      </w:r>
      <w:bookmarkEnd w:id="1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7"/>
        <w:gridCol w:w="122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82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1.用于支付2021年新增费省级返还市县资金。</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eastAsia" w:eastAsia="方正书宋_GBK"/>
                <w:lang w:eastAsia="zh-CN"/>
              </w:rPr>
            </w:pPr>
            <w:r>
              <w:rPr>
                <w:rFonts w:hint="default"/>
              </w:rPr>
              <w:t>收取</w:t>
            </w:r>
            <w:r>
              <w:rPr>
                <w:rFonts w:hint="eastAsia"/>
                <w:lang w:eastAsia="zh-CN"/>
              </w:rPr>
              <w:t>收益</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向取得出让等有偿使用方式的政府收取的平均土地收益</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关于调整新增建设用地土地有偿使用费政策等问题的通知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按照核定的金额缴纳情况</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中华人民共和国土地管理法实施条例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各项目按时完成情况</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按照核定的时间完成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中华人民共和国土地管理法实施条例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资金成本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资金成本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关于调整新增建设用地土地有偿使用费政策等问题的通知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耕地质量提升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提高耕地质量，实现耕地总量不减少</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中华人民共和国土地管理法实施条例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满意率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满意率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20" w:name="_Toc_4_4_0000000023"/>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20.关于下达2021年造林绿化奖补资金的通知（廊财建[2021]87号）绩效目标表</w:t>
      </w:r>
      <w:bookmarkEnd w:id="2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1.支付2021年造林绿化奖补资金</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2201"/>
        <w:gridCol w:w="2012"/>
        <w:gridCol w:w="3601"/>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2201"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201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360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2201"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2012" w:type="dxa"/>
            <w:vAlign w:val="center"/>
          </w:tcPr>
          <w:p>
            <w:pPr>
              <w:pStyle w:val="21"/>
              <w:keepNext w:val="0"/>
              <w:keepLines w:val="0"/>
              <w:suppressLineNumbers w:val="0"/>
              <w:spacing w:before="0" w:beforeAutospacing="0" w:after="0" w:afterAutospacing="0"/>
              <w:ind w:left="0" w:right="0"/>
              <w:rPr>
                <w:rFonts w:hint="default"/>
              </w:rPr>
            </w:pPr>
            <w:r>
              <w:rPr>
                <w:rFonts w:hint="default"/>
              </w:rPr>
              <w:t>奖补企业数量</w:t>
            </w:r>
          </w:p>
        </w:tc>
        <w:tc>
          <w:tcPr>
            <w:tcW w:w="3601" w:type="dxa"/>
            <w:vAlign w:val="center"/>
          </w:tcPr>
          <w:p>
            <w:pPr>
              <w:pStyle w:val="21"/>
              <w:keepNext w:val="0"/>
              <w:keepLines w:val="0"/>
              <w:suppressLineNumbers w:val="0"/>
              <w:spacing w:before="0" w:beforeAutospacing="0" w:after="0" w:afterAutospacing="0"/>
              <w:ind w:left="0" w:right="0"/>
              <w:rPr>
                <w:rFonts w:hint="default"/>
              </w:rPr>
            </w:pPr>
            <w:r>
              <w:rPr>
                <w:rFonts w:hint="default"/>
              </w:rPr>
              <w:t>奖补市义务植树单位</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≥1家</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2201"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201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完成率</w:t>
            </w:r>
          </w:p>
        </w:tc>
        <w:tc>
          <w:tcPr>
            <w:tcW w:w="3601" w:type="dxa"/>
            <w:vAlign w:val="center"/>
          </w:tcPr>
          <w:p>
            <w:pPr>
              <w:pStyle w:val="21"/>
              <w:keepNext w:val="0"/>
              <w:keepLines w:val="0"/>
              <w:suppressLineNumbers w:val="0"/>
              <w:spacing w:before="0" w:beforeAutospacing="0" w:after="0" w:afterAutospacing="0"/>
              <w:ind w:left="0" w:right="0"/>
              <w:rPr>
                <w:rFonts w:hint="default"/>
              </w:rPr>
            </w:pPr>
            <w:r>
              <w:rPr>
                <w:rFonts w:hint="default"/>
              </w:rPr>
              <w:t>按照计划奖补到位情况</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2201"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2012" w:type="dxa"/>
            <w:vAlign w:val="center"/>
          </w:tcPr>
          <w:p>
            <w:pPr>
              <w:pStyle w:val="21"/>
              <w:keepNext w:val="0"/>
              <w:keepLines w:val="0"/>
              <w:suppressLineNumbers w:val="0"/>
              <w:spacing w:before="0" w:beforeAutospacing="0" w:after="0" w:afterAutospacing="0"/>
              <w:ind w:left="0" w:right="0"/>
              <w:rPr>
                <w:rFonts w:hint="default"/>
              </w:rPr>
            </w:pPr>
            <w:r>
              <w:rPr>
                <w:rFonts w:hint="default"/>
              </w:rPr>
              <w:t>资金成本</w:t>
            </w:r>
          </w:p>
        </w:tc>
        <w:tc>
          <w:tcPr>
            <w:tcW w:w="3601" w:type="dxa"/>
            <w:vAlign w:val="center"/>
          </w:tcPr>
          <w:p>
            <w:pPr>
              <w:pStyle w:val="21"/>
              <w:keepNext w:val="0"/>
              <w:keepLines w:val="0"/>
              <w:suppressLineNumbers w:val="0"/>
              <w:spacing w:before="0" w:beforeAutospacing="0" w:after="0" w:afterAutospacing="0"/>
              <w:ind w:left="0" w:right="0"/>
              <w:rPr>
                <w:rFonts w:hint="default"/>
              </w:rPr>
            </w:pPr>
            <w:r>
              <w:rPr>
                <w:rFonts w:hint="default"/>
              </w:rPr>
              <w:t>资金成本</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2201"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201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完成情况</w:t>
            </w:r>
          </w:p>
        </w:tc>
        <w:tc>
          <w:tcPr>
            <w:tcW w:w="3601" w:type="dxa"/>
            <w:vAlign w:val="center"/>
          </w:tcPr>
          <w:p>
            <w:pPr>
              <w:pStyle w:val="21"/>
              <w:keepNext w:val="0"/>
              <w:keepLines w:val="0"/>
              <w:suppressLineNumbers w:val="0"/>
              <w:spacing w:before="0" w:beforeAutospacing="0" w:after="0" w:afterAutospacing="0"/>
              <w:ind w:left="0" w:right="0"/>
              <w:rPr>
                <w:rFonts w:hint="default"/>
              </w:rPr>
            </w:pPr>
            <w:r>
              <w:rPr>
                <w:rFonts w:hint="default"/>
              </w:rPr>
              <w:t>按照计划时间完成</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根据相关文件</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2201"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2012"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w:t>
            </w:r>
          </w:p>
        </w:tc>
        <w:tc>
          <w:tcPr>
            <w:tcW w:w="3601"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有效改善</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2201"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2012" w:type="dxa"/>
            <w:vAlign w:val="center"/>
          </w:tcPr>
          <w:p>
            <w:pPr>
              <w:pStyle w:val="21"/>
              <w:keepNext w:val="0"/>
              <w:keepLines w:val="0"/>
              <w:suppressLineNumbers w:val="0"/>
              <w:spacing w:before="0" w:beforeAutospacing="0" w:after="0" w:afterAutospacing="0"/>
              <w:ind w:left="0" w:right="0"/>
              <w:rPr>
                <w:rFonts w:hint="default"/>
              </w:rPr>
            </w:pPr>
            <w:r>
              <w:rPr>
                <w:rFonts w:hint="default"/>
              </w:rPr>
              <w:t>满意度</w:t>
            </w:r>
          </w:p>
        </w:tc>
        <w:tc>
          <w:tcPr>
            <w:tcW w:w="3601" w:type="dxa"/>
            <w:vAlign w:val="center"/>
          </w:tcPr>
          <w:p>
            <w:pPr>
              <w:pStyle w:val="21"/>
              <w:keepNext w:val="0"/>
              <w:keepLines w:val="0"/>
              <w:suppressLineNumbers w:val="0"/>
              <w:spacing w:before="0" w:beforeAutospacing="0" w:after="0" w:afterAutospacing="0"/>
              <w:ind w:left="0" w:right="0"/>
              <w:rPr>
                <w:rFonts w:hint="default"/>
              </w:rPr>
            </w:pPr>
            <w:r>
              <w:rPr>
                <w:rFonts w:hint="default"/>
              </w:rPr>
              <w:t>满意度</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21" w:name="_Toc_4_4_000000002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21.管委会搬迁经费绩效目标表</w:t>
      </w:r>
      <w:bookmarkEnd w:id="2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4"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1.此项目用于保障北京大兴国际机场临空经济区（廊坊）管理委员会2022年搬迁至临空服务中心，需</w:t>
            </w:r>
            <w:r>
              <w:rPr>
                <w:rFonts w:hint="eastAsia" w:ascii="Times New Roman" w:hAnsi="Times New Roman"/>
                <w:lang w:eastAsia="zh-CN"/>
              </w:rPr>
              <w:t>开展</w:t>
            </w:r>
            <w:r>
              <w:rPr>
                <w:rFonts w:hint="default" w:ascii="Times New Roman" w:hAnsi="Times New Roman"/>
              </w:rPr>
              <w:t>运输车辆租赁、人工搬运、办公家具拆装等工作，确保搬迁至临空服务中心工作的顺利</w:t>
            </w:r>
            <w:r>
              <w:rPr>
                <w:rFonts w:hint="eastAsia" w:ascii="Times New Roman" w:hAnsi="Times New Roman"/>
                <w:lang w:eastAsia="zh-CN"/>
              </w:rPr>
              <w:t>进行</w:t>
            </w:r>
            <w:r>
              <w:rPr>
                <w:rFonts w:hint="default" w:ascii="Times New Roman" w:hAnsi="Times New Roman"/>
              </w:rPr>
              <w:t>，本项目由党政办公室负责实施。</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2.为保障北京大兴国际机场临空经济区（廊坊）管理委员会2022年搬迁至临空服务中心，开展此项目工作，拟定于2022年9月整体完成搬迁任务。</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637"/>
        <w:gridCol w:w="4364"/>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63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36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63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搬运车辆数量</w:t>
            </w:r>
          </w:p>
        </w:tc>
        <w:tc>
          <w:tcPr>
            <w:tcW w:w="43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搬运车辆数量</w:t>
            </w:r>
          </w:p>
          <w:p>
            <w:pPr>
              <w:pStyle w:val="21"/>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≥300车次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63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搬运质量</w:t>
            </w:r>
          </w:p>
        </w:tc>
        <w:tc>
          <w:tcPr>
            <w:tcW w:w="43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保证办公家具和设备搬运过程中完好、无损坏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63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项目及时时限</w:t>
            </w:r>
          </w:p>
        </w:tc>
        <w:tc>
          <w:tcPr>
            <w:tcW w:w="43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项目及时时限</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2022年9月底前</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63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项目实际成本</w:t>
            </w:r>
          </w:p>
        </w:tc>
        <w:tc>
          <w:tcPr>
            <w:tcW w:w="43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项目实际成本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63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用于保障正常办公、维持单位正常运转。</w:t>
            </w:r>
          </w:p>
        </w:tc>
        <w:tc>
          <w:tcPr>
            <w:tcW w:w="43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反映保障正常办公、维持单位正常运转。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63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职工满意度</w:t>
            </w:r>
          </w:p>
        </w:tc>
        <w:tc>
          <w:tcPr>
            <w:tcW w:w="436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职工对搬迁服务的满意程度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22" w:name="_Toc_4_4_000000002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22.规划管控导则体系编制费绩效目标表</w:t>
      </w:r>
      <w:bookmarkEnd w:id="2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按照北京大兴国际机场临空经济区建设安排部署，指导临空经济区高质量建设，开展廊坊临空经济区规划管控导则体系编制费工作，加强总体管控区的协同发展，实现在土地利用、公共空间、景观环境、交通组织、建筑风貌、各类设施及可持续发展等各项要素的合理有序管控，形成一套从宏观到微观一体化管理的规划管控导则体系，提升规划建设管理的精细化水平</w:t>
            </w:r>
            <w:r>
              <w:rPr>
                <w:rFonts w:hint="eastAsia" w:ascii="Times New Roman" w:hAnsi="Times New Roman"/>
                <w:lang w:eastAsia="zh-CN"/>
              </w:rPr>
              <w:t>。</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2.完成规划控制导则体系编制，形成启动区内所有地块的规划条件及配套参数要求。</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是否按照预算计划及时完成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财政支出流水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设施布局</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保障规划的设施布局科学合理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合理安排建设时序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合理安排业发展、生态管控、交通管控、综合防灾等方面的的规划建设时序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坚持生态优先</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优化生态安全格局</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指导建设实施</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为城市规划建设提供依据</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健全</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相关科室对本次项目满意度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23" w:name="_Toc_4_4_0000000026"/>
      <w:r>
        <w:rPr>
          <w:rFonts w:ascii="Times New Roman" w:hAnsi="Times New Roman" w:eastAsia="方正仿宋_GBK" w:cs="方正仿宋_GBK"/>
          <w:color w:val="000000"/>
          <w:sz w:val="28"/>
        </w:rPr>
        <w:t>23.规划建设技术咨询服务费绩效目标表</w:t>
      </w:r>
      <w:bookmarkEnd w:id="2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1.进一步提升廊坊临空经济区规划、建设和管理能力，保障城市运营和项目建设，塑造城市特点、提升城市品质、实现高质量发展目标</w:t>
            </w:r>
            <w:r>
              <w:rPr>
                <w:rFonts w:hint="eastAsia" w:ascii="Times New Roman" w:hAnsi="Times New Roman"/>
                <w:lang w:eastAsia="zh-CN"/>
              </w:rPr>
              <w:t>。</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为进一步加强廊坊临空经济区规划、建设和管理能力，保障城市运营和项目建设，拟委托第三方单位派驻相关专业的技术人员，对城市规划建设管理等方面进行技术服务支撑，保证临空经济区规划蓝图高质量实施。在严格控制成本的前提下，按时按质按量完成规划建设技术咨询服务，最终实现保障临空经济区规划编制的前瞻性和规划管理的科学性的目标，做到临空区各科室对规划建设技术咨询服务过程满意度90%及以上。</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完成技术服务量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完成技术服务量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技术服务人员工作经验</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技术服务人员工作经验年限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规划建设技术咨询服务办结率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[办结数量/申请数量]×100%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[实际完成时间/规定完成时限]×100%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财政支出流水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规划科学合理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保障规划编制的前瞻性和规划管理的科学性</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临空区管委会内部会议纪要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规划建设技术咨询服务满意度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临空区各科室对规划建设技术咨询服务过程的满意度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24" w:name="_Toc_4_4_0000000027"/>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24.规划建设局消防组第三方技术服务费绩效目标表</w:t>
      </w:r>
      <w:bookmarkEnd w:id="2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1.用于支付消防组第三方技术服务费。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消防设计审查及验收数量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按技术完成审查及验收</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≤13次</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查阅案卷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验收合格率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各项工作按照国家规范完成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完成及时率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是否按照时间计划及时完成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消防设计审查及验收成本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消防设计审查及验收成本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≤38万元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保障工程消防设计质量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保障工程建设可靠</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工程建设单位满意度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工程建设单位对建设项目消防监管的满意度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电话回访</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25" w:name="_Toc_4_4_000000002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25.国土“三调”数据对接融合服务费绩效目标表</w:t>
      </w:r>
      <w:bookmarkEnd w:id="2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1.支付国土三调数据对接融合服务费。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987"/>
        <w:gridCol w:w="4014"/>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987"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4014"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987" w:type="dxa"/>
            <w:vAlign w:val="center"/>
          </w:tcPr>
          <w:p>
            <w:pPr>
              <w:pStyle w:val="21"/>
              <w:keepNext w:val="0"/>
              <w:keepLines w:val="0"/>
              <w:suppressLineNumbers w:val="0"/>
              <w:spacing w:before="0" w:beforeAutospacing="0" w:after="0" w:afterAutospacing="0"/>
              <w:ind w:left="0" w:right="0"/>
              <w:rPr>
                <w:rFonts w:hint="default"/>
              </w:rPr>
            </w:pPr>
            <w:r>
              <w:rPr>
                <w:rFonts w:hint="default"/>
              </w:rPr>
              <w:t>数据核查服务面积</w:t>
            </w:r>
          </w:p>
        </w:tc>
        <w:tc>
          <w:tcPr>
            <w:tcW w:w="4014" w:type="dxa"/>
            <w:vAlign w:val="center"/>
          </w:tcPr>
          <w:p>
            <w:pPr>
              <w:pStyle w:val="21"/>
              <w:keepNext w:val="0"/>
              <w:keepLines w:val="0"/>
              <w:suppressLineNumbers w:val="0"/>
              <w:spacing w:before="0" w:beforeAutospacing="0" w:after="0" w:afterAutospacing="0"/>
              <w:ind w:left="0" w:right="0"/>
              <w:rPr>
                <w:rFonts w:hint="default"/>
              </w:rPr>
            </w:pPr>
            <w:r>
              <w:rPr>
                <w:rFonts w:hint="default"/>
              </w:rPr>
              <w:t>数据核查服务面积</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≥670公顷</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依据实际测量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987" w:type="dxa"/>
            <w:vAlign w:val="center"/>
          </w:tcPr>
          <w:p>
            <w:pPr>
              <w:pStyle w:val="21"/>
              <w:keepNext w:val="0"/>
              <w:keepLines w:val="0"/>
              <w:suppressLineNumbers w:val="0"/>
              <w:spacing w:before="0" w:beforeAutospacing="0" w:after="0" w:afterAutospacing="0"/>
              <w:ind w:left="0" w:right="0"/>
              <w:rPr>
                <w:rFonts w:hint="default"/>
              </w:rPr>
            </w:pPr>
            <w:r>
              <w:rPr>
                <w:rFonts w:hint="default"/>
              </w:rPr>
              <w:t>技术服务合格率</w:t>
            </w:r>
          </w:p>
        </w:tc>
        <w:tc>
          <w:tcPr>
            <w:tcW w:w="4014" w:type="dxa"/>
            <w:vAlign w:val="center"/>
          </w:tcPr>
          <w:p>
            <w:pPr>
              <w:pStyle w:val="21"/>
              <w:keepNext w:val="0"/>
              <w:keepLines w:val="0"/>
              <w:suppressLineNumbers w:val="0"/>
              <w:spacing w:before="0" w:beforeAutospacing="0" w:after="0" w:afterAutospacing="0"/>
              <w:ind w:left="0" w:right="0"/>
              <w:rPr>
                <w:rFonts w:hint="default"/>
              </w:rPr>
            </w:pPr>
            <w:r>
              <w:rPr>
                <w:rFonts w:hint="default"/>
              </w:rPr>
              <w:t>技术服务合格工作量占总工作量占比</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987"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项目完成及时率</w:t>
            </w:r>
          </w:p>
        </w:tc>
        <w:tc>
          <w:tcPr>
            <w:tcW w:w="4014"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及时完成项目工作量占总工作量占比</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987"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4014"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≤9.6万元</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《林业行业调查规划项目收费指导意见》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987"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w:t>
            </w:r>
          </w:p>
        </w:tc>
        <w:tc>
          <w:tcPr>
            <w:tcW w:w="4014"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改善生态环境质量，绿化美化临空经济区</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987" w:type="dxa"/>
            <w:vAlign w:val="center"/>
          </w:tcPr>
          <w:p>
            <w:pPr>
              <w:pStyle w:val="21"/>
              <w:keepNext w:val="0"/>
              <w:keepLines w:val="0"/>
              <w:suppressLineNumbers w:val="0"/>
              <w:spacing w:before="0" w:beforeAutospacing="0" w:after="0" w:afterAutospacing="0"/>
              <w:ind w:left="0" w:right="0"/>
              <w:rPr>
                <w:rFonts w:hint="default"/>
              </w:rPr>
            </w:pPr>
            <w:r>
              <w:rPr>
                <w:rFonts w:hint="default"/>
              </w:rPr>
              <w:t>使用单位成员满意度</w:t>
            </w:r>
          </w:p>
        </w:tc>
        <w:tc>
          <w:tcPr>
            <w:tcW w:w="4014" w:type="dxa"/>
            <w:vAlign w:val="center"/>
          </w:tcPr>
          <w:p>
            <w:pPr>
              <w:pStyle w:val="21"/>
              <w:keepNext w:val="0"/>
              <w:keepLines w:val="0"/>
              <w:suppressLineNumbers w:val="0"/>
              <w:spacing w:before="0" w:beforeAutospacing="0" w:after="0" w:afterAutospacing="0"/>
              <w:ind w:left="0" w:right="0"/>
              <w:rPr>
                <w:rFonts w:hint="default"/>
              </w:rPr>
            </w:pPr>
            <w:r>
              <w:rPr>
                <w:rFonts w:hint="default"/>
              </w:rPr>
              <w:t>使用单位成员满意度</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26" w:name="_Toc_4_4_000000002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26.国土空间规划一张图研究技术服务费绩效目标表</w:t>
      </w:r>
      <w:bookmarkEnd w:id="2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按照北京大兴国际机场临空经济区建设安排部署，指导临空经济区高质量建设，落实北京大兴国际机场临空经济区总体规划的相关要求，衔接廊坊市国土空间总体规划，进一步划定三区三线，对建设空间提出建设要求，对生态空间提出管控要求，形成符合上位规划建设要求的开发与管控“一张图”，为高质量建设临空经济区提供依据和指导。</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共塑环首都地区生态安全格局廊坊地处环首都生态过渡带，营造大尺度、高品质生态空间。通过廊坊临空经济区国土空间规划一张图研究编制工作实现：①完善规划体系，并指导临空经济区建设；②衔接廊坊市国土空间总体规划，完善规划成果；③更新规划理念，坚持生态文明建设与高质量发展的新理念。最终实现建立匹配理想人居环境的高品质城市国土空间的目标。</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2494"/>
        <w:gridCol w:w="2051"/>
        <w:gridCol w:w="3782"/>
        <w:gridCol w:w="1641"/>
        <w:gridCol w:w="2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249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05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78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64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27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提交成果数量</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规划编制说明书、文本册和图册</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8套</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评审通过率</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专家评审通过率</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专家评审论证意见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成果提交时间率</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按约定时间及时提交成果</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2022年11月底</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依照合同约定时间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成本控制总价</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项目总价</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≤117万元</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规划落地</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指导国土空间规划建设实施，促进国土空间规划项目落地实施。</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高质量发展</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指导临空经济区高质量建设</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支撑作用</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建立匹配理想人居环境的高品质城市</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生态空间格局优化</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释放生态活力</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249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0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科室满意度</w:t>
            </w:r>
          </w:p>
        </w:tc>
        <w:tc>
          <w:tcPr>
            <w:tcW w:w="378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有关科室对相关工作满意度</w:t>
            </w:r>
          </w:p>
        </w:tc>
        <w:tc>
          <w:tcPr>
            <w:tcW w:w="164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27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27" w:name="_Toc_4_4_0000000030"/>
      <w:r>
        <w:rPr>
          <w:rFonts w:ascii="Times New Roman" w:hAnsi="Times New Roman" w:eastAsia="方正仿宋_GBK" w:cs="方正仿宋_GBK"/>
          <w:color w:val="000000"/>
          <w:sz w:val="28"/>
        </w:rPr>
        <w:t>27.海绵城市建设全过程技术咨询服务费绩效目标表</w:t>
      </w:r>
      <w:bookmarkEnd w:id="2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1.开展《廊坊临空经济区海绵城市建设全过程技术咨询》项目工作，目的是为了协助临空经济区海绵城市管理工作，更好地落实临空经济区海绵城市建设指标，推进海绵城市建设。</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的有序开展，于2022年完成《廊坊临空经济区海绵城市建设全过程技术咨询》项目工作。我单位将严格控制成本，与咨询单位紧密联系，海绵城市建设全过程技术咨询服务用地面积规模超过200万平方米，服务办结率为100%，服务及时率为100%，成本总价不得超过80万元，节约海绵城市落地成本，推进海绵城市落地高效，营造城市宜居环境，保证人民美好生活，有效防治城市内涝、保障城市生态安全，打造京津冀海绵城市示范区，并保障相关部门满意度为100%。</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960"/>
        <w:gridCol w:w="4257"/>
        <w:gridCol w:w="1869"/>
        <w:gridCol w:w="2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6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25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6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34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服务用地面积</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海绵城市建设全过程技术咨询服务用地面积</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≥200万平方米</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服务办结率</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[办结数量/申请数量]×100%</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服务及时率</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[实际完成时间/规定完成时限]×100%</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成本控制总价为80万元，超出约定不得分</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≤80万元</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节约过程成本</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节约海绵城市落地成本</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保障人民美好生活</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营造城市宜居环境，保障人民美好生活。</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保障城市生态安全</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有效防治城市内涝、保障城市生态安全</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保障持续发展需要</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打造京津冀海绵城市建设示范区</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6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相关部门满意度</w:t>
            </w:r>
          </w:p>
        </w:tc>
        <w:tc>
          <w:tcPr>
            <w:tcW w:w="425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相关部门部门满意率</w:t>
            </w:r>
          </w:p>
        </w:tc>
        <w:tc>
          <w:tcPr>
            <w:tcW w:w="18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34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满意度调查表</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28" w:name="_Toc_4_4_0000000031"/>
      <w:r>
        <w:rPr>
          <w:rFonts w:ascii="Times New Roman" w:hAnsi="Times New Roman" w:eastAsia="方正仿宋_GBK" w:cs="方正仿宋_GBK"/>
          <w:color w:val="000000"/>
          <w:sz w:val="28"/>
        </w:rPr>
        <w:t>28.航空物流区水系规划深化设计费绩效目标表</w:t>
      </w:r>
      <w:bookmarkEnd w:id="2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1.保障航空物流区水系建设的顺利进行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项目完成时间</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及时完成项目编制</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≤81万元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设施布局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保障航空物流区排涝安全，改善滨水生态环境，提高居民环境保护意识</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相关科室对工作满意度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29" w:name="_Toc_4_4_0000000032"/>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29.河北临空集团注册资本金绩效目标表</w:t>
      </w:r>
      <w:bookmarkEnd w:id="2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1.保障廊坊临空经济区规划建设项目顺利实现。</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注册资本金注入企业数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项目质量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项目完成质量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注入资金本金时间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注入资金本金时间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预算下达后及时注资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注册资本金</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注册资本金金额</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≤144000万元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知名度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廊坊在全国及全球的知名度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知名</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30" w:name="_Toc_4_4_0000000033"/>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30.基础地理信息数据修补测项目资金绩效目标表</w:t>
      </w:r>
      <w:bookmarkEnd w:id="3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在2021年完成的“廊坊临空经济区100平方公里地形测绘项目”数据成果基础上，通过全野外数字化测量技术手段，进行1:1000比例尺数字线划图（DLG）成果修补测，形成廊坊临空经济区现势性强、准确完整的现状地形图数据，并按照CIM平台要求进行数据建库；利用航空摄影测量技术，采集范围区内700平方公里、比例尺为1:1000、分辨率为0.1米的最新航空摄影影像，通过加密地面控制和影像处理，完成数字正射影像图（DOM）成果生产，从而为廊坊临空经济区征迁、土地出让、规划编制、项目实施等部门提供精准、现势性强的基础地理信息数据。</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更新面积</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廊坊临空经济区区划范围内地形图修补测面积</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≥30平方公里</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参照临空区近两年城市建设变化率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正射影像图（DOM）成果面积</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廊坊临空经济区及周边（包含九州片区）</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≤700平方公里</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数据准确率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修补测及正射影像图（DOM）成果数据准确程度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项目实施周期</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项目工期</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项目验收时间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按《合同》约定及时完成验收</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依据《合同》约定时间及时验收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修补测费用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地形图修补测、数据建库费用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≤171.6万元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《测绘生产成本费用定额》2021年中标单价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正射影像图（DOM）费用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航空摄影测量及内业处理费用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≤228.55万元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廊坊临空区地形图数据、正射影像图（DOM）数据更新工作机制保持</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坚持实施廊坊临空区基础地理数据更新机制，保证数据更新及时有效</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持续保持</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《廊坊临空经济区新型智慧城市顶层设计》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实现测绘数据共享单位数量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实现廊坊临空区基础地形图数据、正射影像图（DOM）数据共享，满足规划编制、项目实施、信息化建设等部门工作需要</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≥3部门</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《廊坊临空经济区新型智慧城市顶层设计》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成果可为廊坊临空区决策提供参考，政府对成果的满意度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政府部门反馈</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31" w:name="_Toc_4_4_000000003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31.基于CIM的城建档案管理系统建设资金绩效目标表</w:t>
      </w:r>
      <w:bookmarkEnd w:id="3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临空城建档案管理系统可以结合电子签章、电子签名等技术，并与临空基于CIM的应用体系、廊坊市级相关政务系统对接，实现实现跨层级、跨部门、跨系统的数据协同共享，同时为建设单位、档案管理工作人员和社会公众提供网上协同沟通的通道。</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子系统数量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档案报建子系统、档案数字化子系统、档案业务管理子系统、档案整编子系统、声像管理子系统、档案查询子系统、档案利用子系统、档案统计子系统、档案公众服务、运行维护子系统</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政府部门反馈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投入人员数量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项目管理、标准编制、需求分析、产品设计、UI设计、数据处理、系统研发、系统测试、实施等人员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≥20人</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软件质量合格率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档案系统合格数量/总系统数量*100%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系统开发时限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系统开发时限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系统开发及时率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按计划完成开发的系统数/总系统数量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系统产品及人员实施费用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城建档案管理系统产品及人员实施费用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类似项目公开招标中标情况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城建档案管理系统可持续使用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城建档案管理系统可持续为建设单位、政府部门、社会群众提供服务年限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《廊坊临空经济区新型智慧城市顶层设计》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数据共建共享</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廊坊市级相关政务系统，实现实现跨层级、跨部门、跨系统的数据协同共享</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有效促进</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《廊坊临空经济区新型智慧城市顶层设计》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所提供系统能为政府提高管理水平，政府对成果的满意度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政府部门反馈</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32" w:name="_Toc_4_4_0000000035"/>
      <w:r>
        <w:rPr>
          <w:rFonts w:ascii="Times New Roman" w:hAnsi="Times New Roman" w:eastAsia="方正仿宋_GBK" w:cs="方正仿宋_GBK"/>
          <w:color w:val="000000"/>
          <w:sz w:val="28"/>
        </w:rPr>
        <w:t>32.基于CIM的城市地下市政基础设施管理信息系统建设资金绩效目标表</w:t>
      </w:r>
      <w:bookmarkEnd w:id="3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实现城市地下空间市政基础设施科学规划建设管理和智能决策水平，实现信息的共享与融合，可以及时、准确、全面地掌握城市地下空间基础设施的建设情况，引导政府规划管理向精确、高效、融合的方式转变，为领导科学决策、依法决策提供有力依据，整体提升政府的科学化管理水平和智能化决策水平。</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327"/>
        <w:gridCol w:w="3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89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32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310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数据采集汇聚量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廊坊临空区已经设计和施工的地下设施数据</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《城市地下空间设施分类与代码》（GB/T 28590-2012）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子系统数量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地下市政基础设施数据管理子系统、地下市政基础设施数据共享、巡查养护子系统、设施安全评估子系统、应急调度子系统、运维管理子系统、标准规范编制</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7个</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政府部门反馈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投入人员数量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项目管理、标准编制、需求分析、产品设计、UI设计、数据处理、系统研发、系统测试、实施等人员</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≥25人</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软件质量合格率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系统合格数量/总系统数量*100%</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系统开发时限</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系统开发时限</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6月</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系统开发及时率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按计划完成开发的系统数/总系统数量</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系统产品及人员实施费用</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系统产品及人员实施费用</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≤150万元</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类似项目公开招标中标情况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系统数据可持续使用</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城市地下市政基础设施管理信息系统数据长效管理机制，保证数据更新及时有效</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≥7年</w:t>
            </w:r>
          </w:p>
        </w:tc>
        <w:tc>
          <w:tcPr>
            <w:tcW w:w="3106" w:type="dxa"/>
            <w:vAlign w:val="center"/>
          </w:tcPr>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rPr>
            </w:pPr>
            <w:r>
              <w:rPr>
                <w:rFonts w:hint="default" w:ascii="Times New Roman" w:hAnsi="Times New Roman"/>
              </w:rPr>
              <w:t>《廊坊市国民经济和社会发展第十四个五年规划和二〇三五年远景目标纲要（2021年2月28日廊坊市第七届人民代表大会第七次会议批准）》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节约财政资金</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数据成果共享能够满足相关单位使用需要，节约政府相关投资</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w:t>
            </w:r>
          </w:p>
        </w:tc>
        <w:tc>
          <w:tcPr>
            <w:tcW w:w="3106" w:type="dxa"/>
            <w:vAlign w:val="center"/>
          </w:tcPr>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rPr>
            </w:pPr>
            <w:r>
              <w:rPr>
                <w:rFonts w:hint="default" w:ascii="Times New Roman" w:hAnsi="Times New Roman"/>
              </w:rPr>
              <w:t>数据使用记录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数据共建共享</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满足设施规划建设、运行服务、智慧城市等三个单位数据共享需要</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有效促进</w:t>
            </w:r>
          </w:p>
        </w:tc>
        <w:tc>
          <w:tcPr>
            <w:tcW w:w="3106" w:type="dxa"/>
            <w:vAlign w:val="center"/>
          </w:tcPr>
          <w:p>
            <w:pPr>
              <w:pStyle w:val="2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default" w:ascii="Times New Roman" w:hAnsi="Times New Roman"/>
              </w:rPr>
            </w:pPr>
            <w:r>
              <w:rPr>
                <w:rFonts w:hint="default" w:ascii="Times New Roman" w:hAnsi="Times New Roman"/>
              </w:rPr>
              <w:t>《廊坊市国民经济和社会发展第十四个五年规划和二〇三五年远景目标纲要（2021年2月28日廊坊市第七届人民代表大会第七次会议批准）》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成果满意度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所提供系统能为政府提高管理水平，政府对成果的满意度</w:t>
            </w:r>
          </w:p>
        </w:tc>
        <w:tc>
          <w:tcPr>
            <w:tcW w:w="132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310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政府部门反馈</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33" w:name="_Toc_4_4_0000000036"/>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33.机场回迁区九年一贯制学校开办资金绩效目标表</w:t>
      </w:r>
      <w:bookmarkEnd w:id="3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1.加快临空经济区配套公务设施建设，解决学校正常运转、师生在校安全、教师培训等问题。提升经济区的经济发展软实力，进一步优化营商环境，能明显提高社会效率。</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2.预留经费，解决学校正常运转、师生在校安全、教师培训等问题，通过公开招标方式，进行3所学校办公经费中采购安保、物业服务等工作。</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2114"/>
        <w:gridCol w:w="1592"/>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211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59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21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5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教室数量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配备装备教室数量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22间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5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符合省市相关政策</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符合基本办学标准及相关政策</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5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配备工作完成时间</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配备工作完成时间</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2022年9月前完成配备工作</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5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资金成本</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教育装备资金及办公经费成本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≤3831.38万元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21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5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培养后备人才</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为社会培养合格的后备人才奠定基础</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人才储备</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5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解决航企职工及居民子女入学问题</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解决服务范围内适龄儿童入学问题</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21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5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人员满意度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校内相关人员对校内办公环境满意度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34" w:name="_Toc_4_4_0000000037"/>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34.机场回迁区幼儿园开办资金绩效目标表</w:t>
      </w:r>
      <w:bookmarkEnd w:id="3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1.加快临空经济区配套公务设施建设，解决幼儿园正常运转、师生在校安全、教师培训等问题。提升经济区的经济发展软实力，进一步优化营商环境，能明显提高社会效率。</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2.解决幼儿园正常运转、师生在校安全、教师培训等问题，通过公开招标方式，进行幼儿园设备购置、装修、安保、物业服务等工作。</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教室装修数量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6班幼儿园教室装修数量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符合《河北省义务教育学校办学基本标准》及省市相关政策</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符合基本办学标准及相关政策</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设备到位及时率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按计划到位的设备数/总设备数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≤686.28万元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培养合格的后备人才</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为培养合格的后备人才奠定基础</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奠定</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解决航企职工及居民子女入学问题</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解决服务范围内适龄儿童入学问题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校内相关人员对校内办公环境满意度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35" w:name="_Toc_4_4_000000003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35.机房及视频会议室建设资金绩效目标表</w:t>
      </w:r>
      <w:bookmarkEnd w:id="3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125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3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52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1.提高财政服务及管理水平，保障部门高效运转。</w:t>
            </w:r>
            <w:r>
              <w:rPr>
                <w:rFonts w:hint="default" w:ascii="Times New Roman" w:hAnsi="Times New Roman"/>
              </w:rPr>
              <w:tab/>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1783"/>
        <w:gridCol w:w="2199"/>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53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78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19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采购总成本控制率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采购总成本控制率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单位购置成本</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单位购置成本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≤28万元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机房建设完成及时情况</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2022年机房建设完成，达到财政应用水平</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2022年6月份前</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网络机柜</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博尔42U网络机柜600mm*800mm*2000mm含PDU托盘</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≥1台</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双绞线</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紫光超五类非屏蔽双绞线</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≥5箱</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配线架</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紫光超五类24口数据配线架</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理线架</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 xml:space="preserve">紫光线缆管理器黑色 </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模块</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紫光超五类模块</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≥48个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面板</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紫光 双口面板</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水晶头</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 xml:space="preserve">紫光RJ45水晶头  </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≥200个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单模光纤</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室外单模12芯光纤</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汇接盒</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机架式汇接盒</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耦合器</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耦合器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尾纤</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尾纤</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光纤熔接</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光纤熔接</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≥24芯</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光纤跳线</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3米跳线ST-LC</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辅材</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施工辅助材料</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地板</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京通SF5HPL600.40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≥9平米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踢脚板</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亚光不锈钢踢脚板</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踏步</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定制</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≥1处</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地板吸盘</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地板吸盘</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防盗门</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钢质防盗门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墙面粉刷</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立邦 时时丽</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≥75平米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辅材</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辅材</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配电箱</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配电箱施耐德主元器件</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≥1台</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UPS</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UPS机架式主机、16块12V65AH蓄电池</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电缆</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ZR-YJV5*16电缆（市电主电源）</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≥40米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电缆</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ZR-YJV5*10电缆（UPS电源入）</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电缆</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ZR-YJV3*10电缆（UPS电源出）</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护套线</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RVV-3*4护套线</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工业连接器</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工业连接器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PDU</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16A输入</w:t>
            </w:r>
            <w:r>
              <w:rPr>
                <w:rFonts w:hint="eastAsia" w:ascii="Times New Roman" w:hAnsi="Times New Roman"/>
                <w:lang w:eastAsia="zh-CN"/>
              </w:rPr>
              <w:t>，</w:t>
            </w:r>
            <w:r>
              <w:rPr>
                <w:rFonts w:hint="default" w:ascii="Times New Roman" w:hAnsi="Times New Roman"/>
              </w:rPr>
              <w:t>8*10A插座</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防雷器</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防雷模块</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绝缘柱</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绝缘柱</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接地线</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4mm编织带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铜排</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等电位30*3铜排</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≥8米</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辅材</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辅材</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广域网路由器</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双主控，双电源，配置4个千兆光/电Combo</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≥1台</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防火墙</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1U标准机箱，10个千兆电接口。</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≥1台</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局域网核心交换机</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24个10/100/1000BASE-T端口</w:t>
            </w:r>
            <w:r>
              <w:rPr>
                <w:rFonts w:hint="eastAsia" w:ascii="Times New Roman" w:hAnsi="Times New Roman"/>
                <w:lang w:eastAsia="zh-CN"/>
              </w:rPr>
              <w:t>，</w:t>
            </w:r>
            <w:r>
              <w:rPr>
                <w:rFonts w:hint="default" w:ascii="Times New Roman" w:hAnsi="Times New Roman"/>
              </w:rPr>
              <w:t>配置4个10G/1G BASE-X SFP+端口</w:t>
            </w:r>
            <w:r>
              <w:rPr>
                <w:rFonts w:hint="eastAsia" w:ascii="Times New Roman" w:hAnsi="Times New Roman"/>
                <w:lang w:eastAsia="zh-CN"/>
              </w:rPr>
              <w:t>，</w:t>
            </w:r>
            <w:r>
              <w:rPr>
                <w:rFonts w:hint="default" w:ascii="Times New Roman" w:hAnsi="Times New Roman"/>
              </w:rPr>
              <w:t xml:space="preserve"> AC电源供电，配置2个SFP+ 万兆模块(850nm</w:t>
            </w:r>
            <w:r>
              <w:rPr>
                <w:rFonts w:hint="eastAsia" w:ascii="Times New Roman" w:hAnsi="Times New Roman"/>
                <w:lang w:eastAsia="zh-CN"/>
              </w:rPr>
              <w:t>，</w:t>
            </w:r>
            <w:r>
              <w:rPr>
                <w:rFonts w:hint="default" w:ascii="Times New Roman" w:hAnsi="Times New Roman"/>
              </w:rPr>
              <w:t>300m</w:t>
            </w:r>
            <w:r>
              <w:rPr>
                <w:rFonts w:hint="eastAsia" w:ascii="Times New Roman" w:hAnsi="Times New Roman"/>
                <w:lang w:eastAsia="zh-CN"/>
              </w:rPr>
              <w:t>，</w:t>
            </w:r>
            <w:r>
              <w:rPr>
                <w:rFonts w:hint="default" w:ascii="Times New Roman" w:hAnsi="Times New Roman"/>
              </w:rPr>
              <w:t>LC)</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≥1台</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接入交换机</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24个100/1000Base-TX以太网端口</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≥2台</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会议终端</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高清视频会议终端（含摄像机）</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≥1台</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辅材</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同轴线、接头、连接性、线槽等辅材</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工程质量合格率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合格工程量占总工程量的比列</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设备使用率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设备使用率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在无人为破坏的情况下，一直使用</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提升公共服务水平</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提升公共服务水平</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537"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78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1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收益群体满意度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收益群体满意度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临空经济区财政支付中心网络系统建设方案</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36" w:name="_Toc_4_4_000000003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36.警务中心工作经费绩效目标表</w:t>
      </w:r>
      <w:bookmarkEnd w:id="3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1.用于支付警务中心工作经费。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警用执法装备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购进警用执法装备数量</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50套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保障工作质量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保障工作质量</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项目及时完成</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按计划完成时间完成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项目实际成本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项目实际成本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≤21.2万元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维护临空区建设安全</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有效加强了临空经济区规划建设安全工作，有效维护了临空经济区规划建设稳定工作。</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职工对警务中心的满意程度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37" w:name="_Toc_4_4_000000004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37.开发建设（二期）航空物流区基础建设项目配套资金绩效目标表</w:t>
      </w:r>
      <w:bookmarkEnd w:id="3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1.通过该项目的实施确保2021年北京大兴国际机场临空经济区（廊坊）专项债券项目成功申报，提升区域社会影响力、区域价值，促进区域基础设施建设顺利开展。</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2.河北省2021年专项债券提前批申请工作迫在眉睫，项目实施后将为北京大兴国际机场临空经济区（廊坊）基础建设项目专项债券申报工作提供支持，为确保工程顺利实施，急需费用落实该项目。</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707"/>
        <w:gridCol w:w="1999"/>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70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9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评估报告数量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反映形成评估报告数量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取得主管部门批复</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项目预算控制率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实际项目成本/项目预算数*100%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项目完成时间</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反映项目完成时间</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2021年12月</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带动临空区经济发展</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通过本项目促进专项债券落地，带动临空区经济发展</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带动经济发展</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促进区域基础设施建设顺利开展</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通过本项目带动专项债券落地，促进区域基础设施建设顺利开展</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促进开发建设</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38" w:name="_Toc_4_4_0000000041"/>
      <w:r>
        <w:rPr>
          <w:rFonts w:ascii="Times New Roman" w:hAnsi="Times New Roman" w:eastAsia="方正仿宋_GBK" w:cs="方正仿宋_GBK"/>
          <w:color w:val="000000"/>
          <w:sz w:val="28"/>
        </w:rPr>
        <w:t>38.开发建设（二期）基础建设项目环评服务费绩效目标表</w:t>
      </w:r>
      <w:bookmarkEnd w:id="3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1.强化工程项目对环境产生的影响破坏，提高我市的生态环境，为我市生态环境工作提供有效保障。</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2.实现对北京大兴国际机场临空经济区（廊坊）产业园区基础设施及中医院项目的环境影响评价</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743"/>
        <w:gridCol w:w="2317"/>
        <w:gridCol w:w="3754"/>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7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31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75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完成环境影响评价报告</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完成环境影响评价报告</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验收通过项目数量/验收总项目*100%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按照工作时间节点要求取得批复</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反映完成批复时间</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2021年12月底完成批复</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反映项目预计总成本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≤29.3万元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资金测算说明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降低对环境的影响</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通过科学规划，降低对环境的影响</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持续降低</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促进可持续发展</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通过项目开展，促进可持续发展</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有效促进</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有效控制污染物</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从源头上避免或建设工程施工对环境产生的影响，有效控制污染物。</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全面控制</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31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375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项目预期目标</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39" w:name="_Toc_4_4_0000000042"/>
      <w:r>
        <w:rPr>
          <w:rFonts w:ascii="Times New Roman" w:hAnsi="Times New Roman" w:eastAsia="方正仿宋_GBK" w:cs="方正仿宋_GBK"/>
          <w:color w:val="000000"/>
          <w:sz w:val="28"/>
        </w:rPr>
        <w:t>39.开发建设（二期）科技创新区基础建设项目配套资金绩效目标表</w:t>
      </w:r>
      <w:bookmarkEnd w:id="3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1.通过该项目的实施确保2021年北京大兴国际机场临空经济区（廊坊）专项债券项目成功申报，提升区域社会影响力、区域价值，促进区域基础设施建设顺利开展。</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河北省2021年专项债券提前批申请工作迫在眉睫，项目实施后将为北京大兴国际机场临空经济区（廊坊）基础建设项目专项债券申报工作提供支持，为确保工程顺利实施，急需费用落实该项目。目前项目已实施完成，2021临空债券项目已于2021年4月22日成功发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评估报告数量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反映形成评估报告数量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验收通过项目数量/验收总项目*100%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项目预算控制率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实际项目成本/项目预算数*100%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反映项目完成时间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2021年12月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带动临空区经济发展</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通过本项目促进专项债券落地，带动临空区经济发展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带动经济发展</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促进区域基础设施建设顺利开展</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通过本项目带动专项债券落地，促进区域基础设施建设顺利开展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促进开发建设</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40" w:name="_Toc_4_4_0000000043"/>
      <w:r>
        <w:rPr>
          <w:rFonts w:ascii="Times New Roman" w:hAnsi="Times New Roman" w:eastAsia="方正仿宋_GBK" w:cs="方正仿宋_GBK"/>
          <w:color w:val="000000"/>
          <w:sz w:val="28"/>
        </w:rPr>
        <w:t>40.科技创新区水系规划深化设计费绩效目标表</w:t>
      </w:r>
      <w:bookmarkEnd w:id="4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1.用于支付科技创新区水系规划深化设计费。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工作完成时间</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是否按照预算计划及时完成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≤85万元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工程布局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对城区排涝安全、减少区内重要设施受灾损失具有明显效益</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生态景观布局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促进城市功能的优化，符合科技创新区的发展战略，促进物质文明和精神文明建设</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水系规划工程</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生物链更加丰富多彩，维持生态平衡，可明显改善区内水环境及人民生活环境</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指导建设实施</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为科技创新区道路、桥梁建设提供依据</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健全</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相关科室对工作满意度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41" w:name="_Toc_4_4_000000004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41.科技创新区中医院建设项目工程前期费绩效目标表</w:t>
      </w:r>
      <w:bookmarkEnd w:id="4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1.通过该项目的实施确保2022年北京大兴国际机场临空经济区（廊坊）专项债券项目成功申报，提升区域社会影响力、区域价值，促进区域基础设施建设顺利开展。</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2.河北省2022年专项债券提前批申请工作迫在眉睫，项目实施后将为北京大兴国际机场临空经济区（廊坊）基础建设项目专项债券申报工作提供支持，为确保工程顺利实施，急需费用落实该项目。</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2032"/>
        <w:gridCol w:w="3969"/>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0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96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协调推进项目数量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评估报告数量</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反映形成评估报告数量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取得主管部门批复</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项目完成时间</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反映项目完成时间</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2022年1月</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项目预算控制率</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实际项目成本/项目预算数*100%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促进区域基础设施建设顺利开展</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通过本项目带动专项债券落地，促进区域基础设施建设顺利开展</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促进开发建设</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带动临空区经济发展</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通过本项目促进专项债券落地，带动临空区经济发展</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带动经济发展</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0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396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工作要求</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42" w:name="_Toc_4_4_000000004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42.廊坊临空经济区公共交通专项规划编制费绩效目标表</w:t>
      </w:r>
      <w:bookmarkEnd w:id="4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1.用于临空经济区公共交通专项规划编制费。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项目及时完成</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按照规定完成编制</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2021年12月底</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项目实际成本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≤80万元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设施布局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缓解交通承载压力</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加强衔接促进运输事业的发展</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加强廊坊临空经济区内外公共交通之间衔接，促进城市交通运输事业的发展</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减轻环境污染促进区域环境质量的提升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优先发展公共交通，促进区域环境质量的提升，达到良好的环境效益。</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指导建设实施</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形成集约的城市土地利用模式与结构</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健全</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相关科室对工作满意度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43" w:name="_Toc_4_4_0000000046"/>
      <w:r>
        <w:rPr>
          <w:rFonts w:ascii="Times New Roman" w:hAnsi="Times New Roman" w:eastAsia="方正仿宋_GBK" w:cs="方正仿宋_GBK"/>
          <w:color w:val="000000"/>
          <w:sz w:val="28"/>
        </w:rPr>
        <w:t>43.廊坊临空经济区管委会信息网络维护资金和门户网站运维资金绩效目标表</w:t>
      </w:r>
      <w:bookmarkEnd w:id="4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1.支付廊坊临空经济区管委会网络维护资金和门户网站运维资金。</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2041"/>
        <w:gridCol w:w="3960"/>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2041"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3960"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2041" w:type="dxa"/>
            <w:vAlign w:val="center"/>
          </w:tcPr>
          <w:p>
            <w:pPr>
              <w:pStyle w:val="21"/>
              <w:keepNext w:val="0"/>
              <w:keepLines w:val="0"/>
              <w:suppressLineNumbers w:val="0"/>
              <w:spacing w:before="0" w:beforeAutospacing="0" w:after="0" w:afterAutospacing="0"/>
              <w:ind w:left="0" w:right="0"/>
              <w:rPr>
                <w:rFonts w:hint="default"/>
              </w:rPr>
            </w:pPr>
            <w:r>
              <w:rPr>
                <w:rFonts w:hint="default"/>
              </w:rPr>
              <w:t>门户网站数量</w:t>
            </w:r>
          </w:p>
        </w:tc>
        <w:tc>
          <w:tcPr>
            <w:tcW w:w="3960" w:type="dxa"/>
            <w:vAlign w:val="center"/>
          </w:tcPr>
          <w:p>
            <w:pPr>
              <w:pStyle w:val="21"/>
              <w:keepNext w:val="0"/>
              <w:keepLines w:val="0"/>
              <w:suppressLineNumbers w:val="0"/>
              <w:spacing w:before="0" w:beforeAutospacing="0" w:after="0" w:afterAutospacing="0"/>
              <w:ind w:left="0" w:right="0"/>
              <w:rPr>
                <w:rFonts w:hint="default"/>
              </w:rPr>
            </w:pPr>
            <w:r>
              <w:rPr>
                <w:rFonts w:hint="default"/>
              </w:rPr>
              <w:t>维护门户网站数量</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≥1个</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2041" w:type="dxa"/>
            <w:vAlign w:val="center"/>
          </w:tcPr>
          <w:p>
            <w:pPr>
              <w:pStyle w:val="21"/>
              <w:keepNext w:val="0"/>
              <w:keepLines w:val="0"/>
              <w:suppressLineNumbers w:val="0"/>
              <w:spacing w:before="0" w:beforeAutospacing="0" w:after="0" w:afterAutospacing="0"/>
              <w:ind w:left="0" w:right="0"/>
              <w:rPr>
                <w:rFonts w:hint="default"/>
              </w:rPr>
            </w:pPr>
            <w:r>
              <w:rPr>
                <w:rFonts w:hint="default"/>
              </w:rPr>
              <w:t>门户网站正常运行</w:t>
            </w:r>
          </w:p>
        </w:tc>
        <w:tc>
          <w:tcPr>
            <w:tcW w:w="3960"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保障门户网站正常运行</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2041"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服务响应时间</w:t>
            </w:r>
          </w:p>
        </w:tc>
        <w:tc>
          <w:tcPr>
            <w:tcW w:w="3960" w:type="dxa"/>
            <w:vAlign w:val="center"/>
          </w:tcPr>
          <w:p>
            <w:pPr>
              <w:pStyle w:val="21"/>
              <w:keepNext w:val="0"/>
              <w:keepLines w:val="0"/>
              <w:suppressLineNumbers w:val="0"/>
              <w:spacing w:before="0" w:beforeAutospacing="0" w:after="0" w:afterAutospacing="0"/>
              <w:ind w:left="0" w:right="0"/>
              <w:rPr>
                <w:rFonts w:hint="default"/>
              </w:rPr>
            </w:pPr>
            <w:r>
              <w:rPr>
                <w:rFonts w:hint="default"/>
              </w:rPr>
              <w:t>反应服务响应时间</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≤24小时</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2041" w:type="dxa"/>
            <w:vAlign w:val="center"/>
          </w:tcPr>
          <w:p>
            <w:pPr>
              <w:pStyle w:val="21"/>
              <w:keepNext w:val="0"/>
              <w:keepLines w:val="0"/>
              <w:suppressLineNumbers w:val="0"/>
              <w:spacing w:before="0" w:beforeAutospacing="0" w:after="0" w:afterAutospacing="0"/>
              <w:ind w:left="0" w:right="0"/>
              <w:rPr>
                <w:rFonts w:hint="default"/>
              </w:rPr>
            </w:pPr>
            <w:r>
              <w:rPr>
                <w:rFonts w:hint="default"/>
              </w:rPr>
              <w:t>门户网站运维技术服务成本</w:t>
            </w:r>
          </w:p>
        </w:tc>
        <w:tc>
          <w:tcPr>
            <w:tcW w:w="3960" w:type="dxa"/>
            <w:vAlign w:val="center"/>
          </w:tcPr>
          <w:p>
            <w:pPr>
              <w:pStyle w:val="21"/>
              <w:keepNext w:val="0"/>
              <w:keepLines w:val="0"/>
              <w:suppressLineNumbers w:val="0"/>
              <w:spacing w:before="0" w:beforeAutospacing="0" w:after="0" w:afterAutospacing="0"/>
              <w:ind w:left="0" w:right="0"/>
              <w:rPr>
                <w:rFonts w:hint="default"/>
              </w:rPr>
            </w:pPr>
            <w:r>
              <w:rPr>
                <w:rFonts w:hint="default"/>
              </w:rPr>
              <w:t>反应门户网站运维技术服务成本</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≤12.2万元</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204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保障工作顺利进行</w:t>
            </w:r>
          </w:p>
        </w:tc>
        <w:tc>
          <w:tcPr>
            <w:tcW w:w="3960"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保障临空区门户网站有效运行</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2041"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职工满意度</w:t>
            </w:r>
          </w:p>
        </w:tc>
        <w:tc>
          <w:tcPr>
            <w:tcW w:w="3960"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职工对网站的满意度</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44" w:name="_Toc_4_4_0000000047"/>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44.廊坊临空经济区规划成果整合入库（CIM平台）费绩效目标表</w:t>
      </w:r>
      <w:bookmarkEnd w:id="4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26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6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1.用于支付规划成果整合入库（CIM）费。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2250"/>
        <w:gridCol w:w="2812"/>
        <w:gridCol w:w="2812"/>
        <w:gridCol w:w="2530"/>
        <w:gridCol w:w="2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7" w:type="dxa"/>
            <w:vAlign w:val="center"/>
          </w:tcPr>
          <w:p>
            <w:pPr>
              <w:pStyle w:val="28"/>
              <w:keepNext w:val="0"/>
              <w:keepLines w:val="0"/>
              <w:suppressLineNumbers w:val="0"/>
              <w:spacing w:beforeAutospacing="0" w:afterAutospacing="0"/>
              <w:ind w:left="0" w:right="0"/>
              <w:rPr>
                <w:rFonts w:hint="default"/>
              </w:rPr>
            </w:pPr>
            <w:r>
              <w:rPr>
                <w:rFonts w:hint="default"/>
              </w:rPr>
              <w:t>一级指标</w:t>
            </w:r>
          </w:p>
        </w:tc>
        <w:tc>
          <w:tcPr>
            <w:tcW w:w="2268" w:type="dxa"/>
            <w:vAlign w:val="center"/>
          </w:tcPr>
          <w:p>
            <w:pPr>
              <w:pStyle w:val="28"/>
              <w:keepNext w:val="0"/>
              <w:keepLines w:val="0"/>
              <w:suppressLineNumbers w:val="0"/>
              <w:spacing w:beforeAutospacing="0" w:afterAutospacing="0"/>
              <w:ind w:left="0" w:right="0"/>
              <w:rPr>
                <w:rFonts w:hint="default"/>
              </w:rPr>
            </w:pPr>
            <w:r>
              <w:rPr>
                <w:rFonts w:hint="default"/>
              </w:rPr>
              <w:t>二级指标</w:t>
            </w:r>
          </w:p>
        </w:tc>
        <w:tc>
          <w:tcPr>
            <w:tcW w:w="2835" w:type="dxa"/>
            <w:vAlign w:val="center"/>
          </w:tcPr>
          <w:p>
            <w:pPr>
              <w:pStyle w:val="28"/>
              <w:keepNext w:val="0"/>
              <w:keepLines w:val="0"/>
              <w:suppressLineNumbers w:val="0"/>
              <w:spacing w:beforeAutospacing="0" w:afterAutospacing="0"/>
              <w:ind w:left="0" w:right="0"/>
              <w:rPr>
                <w:rFonts w:hint="default"/>
              </w:rPr>
            </w:pPr>
            <w:r>
              <w:rPr>
                <w:rFonts w:hint="default"/>
              </w:rPr>
              <w:t>三级指标</w:t>
            </w:r>
          </w:p>
        </w:tc>
        <w:tc>
          <w:tcPr>
            <w:tcW w:w="2835" w:type="dxa"/>
            <w:vAlign w:val="center"/>
          </w:tcPr>
          <w:p>
            <w:pPr>
              <w:pStyle w:val="28"/>
              <w:keepNext w:val="0"/>
              <w:keepLines w:val="0"/>
              <w:suppressLineNumbers w:val="0"/>
              <w:spacing w:beforeAutospacing="0" w:afterAutospacing="0"/>
              <w:ind w:left="0" w:right="0"/>
              <w:rPr>
                <w:rFonts w:hint="default"/>
              </w:rPr>
            </w:pPr>
            <w:r>
              <w:rPr>
                <w:rFonts w:hint="default"/>
              </w:rPr>
              <w:t>绩效指标描述</w:t>
            </w:r>
          </w:p>
        </w:tc>
        <w:tc>
          <w:tcPr>
            <w:tcW w:w="2551" w:type="dxa"/>
            <w:vAlign w:val="center"/>
          </w:tcPr>
          <w:p>
            <w:pPr>
              <w:pStyle w:val="28"/>
              <w:keepNext w:val="0"/>
              <w:keepLines w:val="0"/>
              <w:suppressLineNumbers w:val="0"/>
              <w:spacing w:beforeAutospacing="0" w:afterAutospacing="0"/>
              <w:ind w:left="0" w:right="0"/>
              <w:rPr>
                <w:rFonts w:hint="default"/>
              </w:rPr>
            </w:pPr>
            <w:r>
              <w:rPr>
                <w:rFonts w:hint="default"/>
              </w:rPr>
              <w:t>指标值</w:t>
            </w:r>
          </w:p>
        </w:tc>
        <w:tc>
          <w:tcPr>
            <w:tcW w:w="2268" w:type="dxa"/>
            <w:vAlign w:val="center"/>
          </w:tcPr>
          <w:p>
            <w:pPr>
              <w:pStyle w:val="28"/>
              <w:keepNext w:val="0"/>
              <w:keepLines w:val="0"/>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Merge w:val="restart"/>
            <w:vAlign w:val="center"/>
          </w:tcPr>
          <w:p>
            <w:pPr>
              <w:pStyle w:val="29"/>
              <w:keepNext w:val="0"/>
              <w:keepLines w:val="0"/>
              <w:suppressLineNumbers w:val="0"/>
              <w:spacing w:beforeAutospacing="0" w:afterAutospacing="0"/>
              <w:ind w:left="0" w:right="0"/>
              <w:rPr>
                <w:rFonts w:hint="default"/>
              </w:rPr>
            </w:pPr>
            <w:r>
              <w:rPr>
                <w:rFonts w:hint="default"/>
              </w:rPr>
              <w:t>产出指标</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数量指标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制作模型成果数量</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按照临空区面积全域建模</w:t>
            </w:r>
          </w:p>
        </w:tc>
        <w:tc>
          <w:tcPr>
            <w:tcW w:w="2551" w:type="dxa"/>
            <w:vAlign w:val="center"/>
          </w:tcPr>
          <w:p>
            <w:pPr>
              <w:pStyle w:val="30"/>
              <w:keepNext w:val="0"/>
              <w:keepLines w:val="0"/>
              <w:suppressLineNumbers w:val="0"/>
              <w:spacing w:beforeAutospacing="0" w:afterAutospacing="0"/>
              <w:ind w:left="0" w:right="0"/>
              <w:rPr>
                <w:rFonts w:hint="default"/>
              </w:rPr>
            </w:pPr>
            <w:r>
              <w:rPr>
                <w:rFonts w:hint="default"/>
              </w:rPr>
              <w:t>100平方公里</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pStyle w:val="31"/>
              <w:keepNext w:val="0"/>
              <w:keepLines w:val="0"/>
              <w:widowControl/>
              <w:suppressLineNumbers w:val="0"/>
              <w:spacing w:before="0" w:beforeAutospacing="0" w:after="0" w:afterAutospacing="0"/>
              <w:ind w:left="0" w:right="0"/>
              <w:rPr>
                <w:rFonts w:hint="default"/>
              </w:rPr>
            </w:pP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质量指标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模型入库率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模型制作后进行入库审核</w:t>
            </w:r>
          </w:p>
        </w:tc>
        <w:tc>
          <w:tcPr>
            <w:tcW w:w="2551" w:type="dxa"/>
            <w:vAlign w:val="center"/>
          </w:tcPr>
          <w:p>
            <w:pPr>
              <w:pStyle w:val="30"/>
              <w:keepNext w:val="0"/>
              <w:keepLines w:val="0"/>
              <w:suppressLineNumbers w:val="0"/>
              <w:spacing w:beforeAutospacing="0" w:afterAutospacing="0"/>
              <w:ind w:left="0" w:right="0"/>
              <w:rPr>
                <w:rFonts w:hint="default"/>
              </w:rPr>
            </w:pPr>
            <w:r>
              <w:rPr>
                <w:rFonts w:hint="default"/>
              </w:rPr>
              <w:t>100%</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《规划设计BIM三维模型制作入库标准》及《城市信息模型（CIM）平台数据标准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pStyle w:val="31"/>
              <w:keepNext w:val="0"/>
              <w:keepLines w:val="0"/>
              <w:widowControl/>
              <w:suppressLineNumbers w:val="0"/>
              <w:spacing w:before="0" w:beforeAutospacing="0" w:after="0" w:afterAutospacing="0"/>
              <w:ind w:left="0" w:right="0"/>
              <w:rPr>
                <w:rFonts w:hint="default"/>
              </w:rPr>
            </w:pP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时效指标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完工时间</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按规定时间完成模型制作</w:t>
            </w:r>
          </w:p>
        </w:tc>
        <w:tc>
          <w:tcPr>
            <w:tcW w:w="2551" w:type="dxa"/>
            <w:vAlign w:val="center"/>
          </w:tcPr>
          <w:p>
            <w:pPr>
              <w:pStyle w:val="30"/>
              <w:keepNext w:val="0"/>
              <w:keepLines w:val="0"/>
              <w:suppressLineNumbers w:val="0"/>
              <w:spacing w:beforeAutospacing="0" w:afterAutospacing="0"/>
              <w:ind w:left="0" w:right="0"/>
              <w:rPr>
                <w:rFonts w:hint="default"/>
              </w:rPr>
            </w:pPr>
            <w:r>
              <w:rPr>
                <w:rFonts w:hint="default"/>
              </w:rPr>
              <w:t>按规定时间完成模型制作</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pStyle w:val="31"/>
              <w:keepNext w:val="0"/>
              <w:keepLines w:val="0"/>
              <w:widowControl/>
              <w:suppressLineNumbers w:val="0"/>
              <w:spacing w:before="0" w:beforeAutospacing="0" w:after="0" w:afterAutospacing="0"/>
              <w:ind w:left="0" w:right="0"/>
              <w:rPr>
                <w:rFonts w:hint="default"/>
              </w:rPr>
            </w:pP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成本指标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成本控制</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模型制作需要费用</w:t>
            </w:r>
          </w:p>
        </w:tc>
        <w:tc>
          <w:tcPr>
            <w:tcW w:w="2551" w:type="dxa"/>
            <w:vAlign w:val="center"/>
          </w:tcPr>
          <w:p>
            <w:pPr>
              <w:pStyle w:val="30"/>
              <w:keepNext w:val="0"/>
              <w:keepLines w:val="0"/>
              <w:suppressLineNumbers w:val="0"/>
              <w:spacing w:beforeAutospacing="0" w:afterAutospacing="0"/>
              <w:ind w:left="0" w:right="0"/>
              <w:rPr>
                <w:rFonts w:hint="default"/>
              </w:rPr>
            </w:pPr>
            <w:r>
              <w:rPr>
                <w:rFonts w:hint="default"/>
              </w:rPr>
              <w:t>≤195万元</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Merge w:val="restart"/>
            <w:vAlign w:val="center"/>
          </w:tcPr>
          <w:p>
            <w:pPr>
              <w:pStyle w:val="29"/>
              <w:keepNext w:val="0"/>
              <w:keepLines w:val="0"/>
              <w:suppressLineNumbers w:val="0"/>
              <w:spacing w:beforeAutospacing="0" w:afterAutospacing="0"/>
              <w:ind w:left="0" w:right="0"/>
              <w:rPr>
                <w:rFonts w:hint="default"/>
              </w:rPr>
            </w:pPr>
            <w:r>
              <w:rPr>
                <w:rFonts w:hint="default"/>
              </w:rPr>
              <w:t>效益指标</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社会效益指标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提高招商率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城市设计模型运用到招商</w:t>
            </w:r>
          </w:p>
        </w:tc>
        <w:tc>
          <w:tcPr>
            <w:tcW w:w="2551" w:type="dxa"/>
            <w:vAlign w:val="center"/>
          </w:tcPr>
          <w:p>
            <w:pPr>
              <w:pStyle w:val="30"/>
              <w:keepNext w:val="0"/>
              <w:keepLines w:val="0"/>
              <w:suppressLineNumbers w:val="0"/>
              <w:spacing w:beforeAutospacing="0" w:afterAutospacing="0"/>
              <w:ind w:left="0" w:right="0"/>
              <w:rPr>
                <w:rFonts w:hint="default"/>
              </w:rPr>
            </w:pPr>
            <w:r>
              <w:rPr>
                <w:rFonts w:hint="default"/>
              </w:rPr>
              <w:t>合理</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Merge w:val="continue"/>
            <w:vAlign w:val="center"/>
          </w:tcPr>
          <w:p>
            <w:pPr>
              <w:pStyle w:val="31"/>
              <w:keepNext w:val="0"/>
              <w:keepLines w:val="0"/>
              <w:widowControl/>
              <w:suppressLineNumbers w:val="0"/>
              <w:spacing w:before="0" w:beforeAutospacing="0" w:after="0" w:afterAutospacing="0"/>
              <w:ind w:left="0" w:right="0"/>
              <w:rPr>
                <w:rFonts w:hint="default"/>
              </w:rPr>
            </w:pP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生态效益指标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提高城市建设科学性严谨性</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辅助项目审批</w:t>
            </w:r>
          </w:p>
        </w:tc>
        <w:tc>
          <w:tcPr>
            <w:tcW w:w="2551" w:type="dxa"/>
            <w:vAlign w:val="center"/>
          </w:tcPr>
          <w:p>
            <w:pPr>
              <w:pStyle w:val="30"/>
              <w:keepNext w:val="0"/>
              <w:keepLines w:val="0"/>
              <w:suppressLineNumbers w:val="0"/>
              <w:spacing w:beforeAutospacing="0" w:afterAutospacing="0"/>
              <w:ind w:left="0" w:right="0"/>
              <w:rPr>
                <w:rFonts w:hint="default"/>
              </w:rPr>
            </w:pPr>
            <w:r>
              <w:rPr>
                <w:rFonts w:hint="default"/>
              </w:rPr>
              <w:t>合理</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7" w:type="dxa"/>
            <w:vAlign w:val="center"/>
          </w:tcPr>
          <w:p>
            <w:pPr>
              <w:pStyle w:val="29"/>
              <w:keepNext w:val="0"/>
              <w:keepLines w:val="0"/>
              <w:suppressLineNumbers w:val="0"/>
              <w:spacing w:beforeAutospacing="0" w:afterAutospacing="0"/>
              <w:ind w:left="0" w:right="0"/>
              <w:rPr>
                <w:rFonts w:hint="default"/>
              </w:rPr>
            </w:pPr>
            <w:r>
              <w:rPr>
                <w:rFonts w:hint="default"/>
              </w:rPr>
              <w:t>满意度指标</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科室满意度</w:t>
            </w:r>
          </w:p>
        </w:tc>
        <w:tc>
          <w:tcPr>
            <w:tcW w:w="2835" w:type="dxa"/>
            <w:vAlign w:val="center"/>
          </w:tcPr>
          <w:p>
            <w:pPr>
              <w:pStyle w:val="30"/>
              <w:keepNext w:val="0"/>
              <w:keepLines w:val="0"/>
              <w:suppressLineNumbers w:val="0"/>
              <w:spacing w:beforeAutospacing="0" w:afterAutospacing="0"/>
              <w:ind w:left="0" w:right="0"/>
              <w:rPr>
                <w:rFonts w:hint="default"/>
              </w:rPr>
            </w:pPr>
            <w:r>
              <w:rPr>
                <w:rFonts w:hint="default"/>
              </w:rPr>
              <w:t>相关科室对工作开展满意度</w:t>
            </w:r>
          </w:p>
        </w:tc>
        <w:tc>
          <w:tcPr>
            <w:tcW w:w="2551" w:type="dxa"/>
            <w:vAlign w:val="center"/>
          </w:tcPr>
          <w:p>
            <w:pPr>
              <w:pStyle w:val="30"/>
              <w:keepNext w:val="0"/>
              <w:keepLines w:val="0"/>
              <w:suppressLineNumbers w:val="0"/>
              <w:spacing w:beforeAutospacing="0" w:afterAutospacing="0"/>
              <w:ind w:left="0" w:right="0"/>
              <w:rPr>
                <w:rFonts w:hint="default"/>
              </w:rPr>
            </w:pPr>
            <w:r>
              <w:rPr>
                <w:rFonts w:hint="default"/>
              </w:rPr>
              <w:t>≥90%</w:t>
            </w:r>
          </w:p>
        </w:tc>
        <w:tc>
          <w:tcPr>
            <w:tcW w:w="2268" w:type="dxa"/>
            <w:vAlign w:val="center"/>
          </w:tcPr>
          <w:p>
            <w:pPr>
              <w:pStyle w:val="30"/>
              <w:keepNext w:val="0"/>
              <w:keepLines w:val="0"/>
              <w:suppressLineNumbers w:val="0"/>
              <w:spacing w:beforeAutospacing="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45" w:name="_Toc_4_4_000000004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45.廊坊临空经济区规划建设技术咨询服务费绩效目标表</w:t>
      </w:r>
      <w:bookmarkEnd w:id="4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1.支付廊坊临空经济区规划建设技术咨询服务费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25"/>
        <w:gridCol w:w="4176"/>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825"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4176"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825" w:type="dxa"/>
            <w:vAlign w:val="center"/>
          </w:tcPr>
          <w:p>
            <w:pPr>
              <w:pStyle w:val="21"/>
              <w:keepNext w:val="0"/>
              <w:keepLines w:val="0"/>
              <w:suppressLineNumbers w:val="0"/>
              <w:spacing w:before="0" w:beforeAutospacing="0" w:after="0" w:afterAutospacing="0"/>
              <w:ind w:left="0" w:right="0"/>
              <w:rPr>
                <w:rFonts w:hint="default"/>
              </w:rPr>
            </w:pPr>
            <w:r>
              <w:rPr>
                <w:rFonts w:hint="default"/>
              </w:rPr>
              <w:t>审查技术服务次数</w:t>
            </w:r>
          </w:p>
        </w:tc>
        <w:tc>
          <w:tcPr>
            <w:tcW w:w="4176" w:type="dxa"/>
            <w:vAlign w:val="center"/>
          </w:tcPr>
          <w:p>
            <w:pPr>
              <w:pStyle w:val="21"/>
              <w:keepNext w:val="0"/>
              <w:keepLines w:val="0"/>
              <w:suppressLineNumbers w:val="0"/>
              <w:spacing w:before="0" w:beforeAutospacing="0" w:after="0" w:afterAutospacing="0"/>
              <w:ind w:left="0" w:right="0"/>
              <w:rPr>
                <w:rFonts w:hint="default"/>
              </w:rPr>
            </w:pPr>
            <w:r>
              <w:rPr>
                <w:rFonts w:hint="default"/>
              </w:rPr>
              <w:t>年度审查技术服务次数</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≥20次</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825" w:type="dxa"/>
            <w:vAlign w:val="center"/>
          </w:tcPr>
          <w:p>
            <w:pPr>
              <w:pStyle w:val="21"/>
              <w:keepNext w:val="0"/>
              <w:keepLines w:val="0"/>
              <w:suppressLineNumbers w:val="0"/>
              <w:spacing w:before="0" w:beforeAutospacing="0" w:after="0" w:afterAutospacing="0"/>
              <w:ind w:left="0" w:right="0"/>
              <w:rPr>
                <w:rFonts w:hint="default"/>
              </w:rPr>
            </w:pPr>
            <w:r>
              <w:rPr>
                <w:rFonts w:hint="default"/>
              </w:rPr>
              <w:t>技术服务人员工作经验</w:t>
            </w:r>
          </w:p>
        </w:tc>
        <w:tc>
          <w:tcPr>
            <w:tcW w:w="4176" w:type="dxa"/>
            <w:vAlign w:val="center"/>
          </w:tcPr>
          <w:p>
            <w:pPr>
              <w:pStyle w:val="21"/>
              <w:keepNext w:val="0"/>
              <w:keepLines w:val="0"/>
              <w:suppressLineNumbers w:val="0"/>
              <w:spacing w:before="0" w:beforeAutospacing="0" w:after="0" w:afterAutospacing="0"/>
              <w:ind w:left="0" w:right="0"/>
              <w:rPr>
                <w:rFonts w:hint="default"/>
              </w:rPr>
            </w:pPr>
            <w:r>
              <w:rPr>
                <w:rFonts w:hint="default"/>
              </w:rPr>
              <w:t>技术服务人员工作经验年限</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≥3年</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人员社保缴纳情况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825"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服务完成度</w:t>
            </w:r>
          </w:p>
        </w:tc>
        <w:tc>
          <w:tcPr>
            <w:tcW w:w="41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服务完成度</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rPr>
            </w:pP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825"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4176"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≤600.75万元</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825"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规划科学合理</w:t>
            </w:r>
          </w:p>
        </w:tc>
        <w:tc>
          <w:tcPr>
            <w:tcW w:w="4176"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保障规划编制的前瞻性和规划管理的科学性</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临空区管委会内部会议纪要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825"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规划建设技术咨询服务满意度</w:t>
            </w:r>
          </w:p>
        </w:tc>
        <w:tc>
          <w:tcPr>
            <w:tcW w:w="4176"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项目单位对审查技术服务的满意度</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46" w:name="_Toc_4_4_000000004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46.廊坊临空经济区海绵城市建设技术导则编制费绩效目标表</w:t>
      </w:r>
      <w:bookmarkEnd w:id="4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816" w:type="dxa"/>
            <w:tcBorders>
              <w:bottom w:val="single" w:color="auto" w:sz="4" w:space="0"/>
              <w:right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left w:val="single" w:color="auto" w:sz="4" w:space="0"/>
              <w:bottom w:val="single" w:color="auto" w:sz="4" w:space="0"/>
            </w:tcBorders>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1.保障临空经济区海绵城市建设技术导则</w:t>
            </w:r>
            <w:r>
              <w:rPr>
                <w:rFonts w:hint="eastAsia" w:ascii="Times New Roman" w:hAnsi="Times New Roman"/>
                <w:lang w:eastAsia="zh-CN"/>
              </w:rPr>
              <w:t>顺利</w:t>
            </w:r>
            <w:r>
              <w:rPr>
                <w:rFonts w:hint="default" w:ascii="Times New Roman" w:hAnsi="Times New Roman"/>
              </w:rPr>
              <w:t>编制</w:t>
            </w:r>
            <w:r>
              <w:rPr>
                <w:rFonts w:hint="eastAsia" w:ascii="Times New Roman" w:hAnsi="Times New Roman"/>
                <w:lang w:eastAsia="zh-CN"/>
              </w:rPr>
              <w:t>。</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项目完成及时性</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按计划及时完成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项目实际成本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≤156万元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明确海绵城市建设标准</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结合国家、地方标准规范要求，结合临空经济区实际，明确海绵城市建设标准</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明确标准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临空各参建设计单位对导则使用的满意程度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临空管委会、设计单位等各使用单位对导则能否指导工程实际的满意程度。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调查评分结果</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47" w:name="_Toc_4_4_000000005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47.廊坊临空经济区环卫设施规划深化设计项目编制费绩效目标表</w:t>
      </w:r>
      <w:bookmarkEnd w:id="4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7"/>
        <w:gridCol w:w="126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63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rPr>
              <w:t>1.按照北京大兴国际机场临空经济区建设安排部署，指导临空经济区高质量建设，开展临空经济区环卫设施规划深化设计编制工作，明确临空经济区环卫设施建设的标准要求，为高质量建设临空经济区提供依据和指导。</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7"/>
        <w:gridCol w:w="2199"/>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427"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2199"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893"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Merge w:val="continue"/>
            <w:vAlign w:val="center"/>
          </w:tcPr>
          <w:p>
            <w:pPr>
              <w:keepNext w:val="0"/>
              <w:keepLines w:val="0"/>
              <w:suppressLineNumbers w:val="0"/>
              <w:spacing w:before="0" w:beforeAutospacing="0" w:after="0" w:afterAutospacing="0"/>
              <w:ind w:left="0" w:right="0"/>
              <w:rPr>
                <w:rFonts w:hint="default"/>
              </w:rPr>
            </w:pP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Merge w:val="continue"/>
            <w:vAlign w:val="center"/>
          </w:tcPr>
          <w:p>
            <w:pPr>
              <w:keepNext w:val="0"/>
              <w:keepLines w:val="0"/>
              <w:suppressLineNumbers w:val="0"/>
              <w:spacing w:before="0" w:beforeAutospacing="0" w:after="0" w:afterAutospacing="0"/>
              <w:ind w:left="0" w:right="0"/>
              <w:rPr>
                <w:rFonts w:hint="default"/>
              </w:rPr>
            </w:pP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完成及时率</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工程完成及时情况</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Merge w:val="continue"/>
            <w:vAlign w:val="center"/>
          </w:tcPr>
          <w:p>
            <w:pPr>
              <w:keepNext w:val="0"/>
              <w:keepLines w:val="0"/>
              <w:suppressLineNumbers w:val="0"/>
              <w:spacing w:before="0" w:beforeAutospacing="0" w:after="0" w:afterAutospacing="0"/>
              <w:ind w:left="0" w:right="0"/>
              <w:rPr>
                <w:rFonts w:hint="default"/>
              </w:rPr>
            </w:pP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成本控制</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≤44.93万元</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设施布局</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保障规划的公厕、垃圾收集站、环卫工人休息点等设施布局科学合理</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Merge w:val="continue"/>
            <w:vAlign w:val="center"/>
          </w:tcPr>
          <w:p>
            <w:pPr>
              <w:keepNext w:val="0"/>
              <w:keepLines w:val="0"/>
              <w:suppressLineNumbers w:val="0"/>
              <w:spacing w:before="0" w:beforeAutospacing="0" w:after="0" w:afterAutospacing="0"/>
              <w:ind w:left="0" w:right="0"/>
              <w:rPr>
                <w:rFonts w:hint="default"/>
              </w:rPr>
            </w:pP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垃圾分类实施方案</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制定规划区生活垃圾分类初步实施方案，实施生活垃圾源头减量，推动生活垃圾源头分类。</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Merge w:val="continue"/>
            <w:vAlign w:val="center"/>
          </w:tcPr>
          <w:p>
            <w:pPr>
              <w:keepNext w:val="0"/>
              <w:keepLines w:val="0"/>
              <w:suppressLineNumbers w:val="0"/>
              <w:spacing w:before="0" w:beforeAutospacing="0" w:after="0" w:afterAutospacing="0"/>
              <w:ind w:left="0" w:right="0"/>
              <w:rPr>
                <w:rFonts w:hint="default"/>
              </w:rPr>
            </w:pP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可持续影响指标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指导建设实施</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为环卫设施建设提供依据</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 xml:space="preserve">健全 </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27"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2199"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893" w:type="dxa"/>
            <w:vAlign w:val="center"/>
          </w:tcPr>
          <w:p>
            <w:pPr>
              <w:pStyle w:val="21"/>
              <w:keepNext w:val="0"/>
              <w:keepLines w:val="0"/>
              <w:suppressLineNumbers w:val="0"/>
              <w:spacing w:before="0" w:beforeAutospacing="0" w:after="0" w:afterAutospacing="0"/>
              <w:ind w:left="0" w:right="0"/>
              <w:rPr>
                <w:rFonts w:hint="default"/>
              </w:rPr>
            </w:pPr>
            <w:r>
              <w:rPr>
                <w:rFonts w:hint="default"/>
              </w:rPr>
              <w:t>科室满意度</w:t>
            </w:r>
          </w:p>
        </w:tc>
        <w:tc>
          <w:tcPr>
            <w:tcW w:w="4108"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相关科室对工作满意度</w:t>
            </w:r>
          </w:p>
        </w:tc>
        <w:tc>
          <w:tcPr>
            <w:tcW w:w="1813"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2620"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48" w:name="_Toc_4_4_0000000051"/>
      <w:r>
        <w:rPr>
          <w:rFonts w:ascii="Times New Roman" w:hAnsi="Times New Roman" w:eastAsia="方正仿宋_GBK" w:cs="方正仿宋_GBK"/>
          <w:color w:val="000000"/>
          <w:sz w:val="28"/>
        </w:rPr>
        <w:t>48.廊坊临空经济区起步区控制性详细规划评估及动态维护项目编制费绩效目标表</w:t>
      </w:r>
      <w:bookmarkEnd w:id="4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rPr>
              <w:t>1.按照北京大兴国际机场临空经济区建设安排部署，指导临空经济区高质量建设，开展临空经济区起步区控制性详细规划评估及动态维护编制工作，为高质量建设临空经济区提供依据和指导。</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项目完成时间</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按计划及时完成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≤200万</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用地布局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优先保障市政基础设施、公共服务设施和安全设施的落位</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职工对规划编制满意程度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49" w:name="_Toc_4_4_0000000052"/>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49.廊坊临空经济区市政设计导则绩效目标表</w:t>
      </w:r>
      <w:bookmarkEnd w:id="4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rPr>
              <w:t>1.通过项目的开展，完成导则编制，确保各片区单元基础设施设计标准统一，各专业无缝衔接，各参建单位设计思路统一，最终实现临空标准、临空品质、临空特色等战略，为临空经济区高质量建设提供依据和指导。</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市政设计导则成果数量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项目完成情况</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项目是否及时完成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按计划完成</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项目实际成本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项目实际成本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≤42.12万元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形成设计管理指导手册</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结合临空经济区实际，明确市政设计标准，满足设计需要，提升临空品质力</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提升</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临空各参建设计单位对导则使用的满意程度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临空管委会、设计单位等各使用单位对导则能否指导工程实际的满意成功度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0" w:name="_Toc_4_4_0000000053"/>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50.廊坊临空经济区通信工程规划深化设计费绩效目标表</w:t>
      </w:r>
      <w:bookmarkEnd w:id="5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1.保障廊坊临空经济区通信工程规划深化设计顺利进行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完成及时率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完成项目数占项目总数比例</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≤80.5万元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设施布局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保障规划的通信工程基础设施布局科学合理</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合理安排建设时序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合理安排各类通信工程基础设施的建设步骤</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通信设施科学布局，管理体制合理建立</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减少规划区内新建供热站的数量，降低污染物的排放，保护区域生态环境</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指导建设实施</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为各类通信工程设施的规划设计提供依据</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健全</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相关科室对工作满意度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51" w:name="_Toc_4_4_0000000054"/>
      <w:r>
        <w:rPr>
          <w:rFonts w:ascii="Times New Roman" w:hAnsi="Times New Roman" w:eastAsia="方正仿宋_GBK" w:cs="方正仿宋_GBK"/>
          <w:color w:val="000000"/>
          <w:sz w:val="28"/>
        </w:rPr>
        <w:t>51.廊坊临空经济区消防设施规划深化设计项目编制费绩效目标表</w:t>
      </w:r>
      <w:bookmarkEnd w:id="5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1.用于支付消防设施规划深化设计项目编制费。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完成及时率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项目完成及时情况</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≤44.93万元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保障临空经济区经济发展和社会稳定</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为临空经济区经济发展和社会稳定提供高标准的消防安全保障体系</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关科室对相关工作满意度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2" w:name="_Toc_4_4_000000005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52.廊坊片区节能报告修改服务费绩效目标表</w:t>
      </w:r>
      <w:bookmarkEnd w:id="5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1.编制完成北京大兴国际机场临空经济区廊坊片区区域节能报告（修改），申请完成临空经济区区域能耗总量调整。</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2.完成北京大兴国际机场临空经济区廊坊片区区域节能报告（修改）的编制工作，并拿到政府相关行政审批部门批复意见。</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形成至少1份区域节能报告（修改）</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编制并审查通过至少1份临空经济区廊坊片区区域节能报告（修改）</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≥1份</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按要求保质保量按时完成技术成果</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编制完成区域节能报告，通过市发改委审核</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形成节能报告正式文件，获得市发改委审核通过文件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完成时限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在合同签订后几日内提交正式成果</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≤30天</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区域节能报告专项咨询服务费成本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根据一般行业标准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评审成本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区域节能报告评审费用成本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根据一般行业标准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业务保障能力提升情况</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十四五期间投产运营高端高新项目</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管委会满意度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根据一般行业标准</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3" w:name="_Toc_4_4_0000000056"/>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53.联合管理委员会筹建办公室办公经费绩效目标表</w:t>
      </w:r>
      <w:bookmarkEnd w:id="5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2"/>
        <w:gridCol w:w="127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798" w:type="dxa"/>
            <w:vAlign w:val="center"/>
          </w:tcPr>
          <w:p>
            <w:pPr>
              <w:pStyle w:val="21"/>
              <w:keepNext w:val="0"/>
              <w:keepLines w:val="0"/>
              <w:numPr>
                <w:ilvl w:val="0"/>
                <w:numId w:val="3"/>
              </w:numPr>
              <w:suppressLineNumbers w:val="0"/>
              <w:spacing w:before="0" w:beforeAutospacing="0" w:after="0" w:afterAutospacing="0"/>
              <w:ind w:left="0" w:right="0"/>
              <w:rPr>
                <w:rFonts w:hint="default" w:ascii="Times New Roman" w:hAnsi="Times New Roman"/>
              </w:rPr>
            </w:pPr>
            <w:r>
              <w:rPr>
                <w:rFonts w:hint="default" w:ascii="Times New Roman" w:hAnsi="Times New Roman"/>
              </w:rPr>
              <w:t>保障北京大兴国际机场临空经济区联合管委会筹建办公室正常运转</w:t>
            </w:r>
          </w:p>
          <w:p>
            <w:pPr>
              <w:pStyle w:val="21"/>
              <w:keepNext w:val="0"/>
              <w:keepLines w:val="0"/>
              <w:numPr>
                <w:ilvl w:val="0"/>
                <w:numId w:val="3"/>
              </w:numPr>
              <w:suppressLineNumbers w:val="0"/>
              <w:spacing w:before="0" w:beforeAutospacing="0" w:after="0" w:afterAutospacing="0"/>
              <w:ind w:left="0" w:right="0"/>
              <w:rPr>
                <w:rFonts w:hint="default" w:ascii="Times New Roman" w:hAnsi="Times New Roman"/>
              </w:rPr>
            </w:pPr>
            <w:r>
              <w:rPr>
                <w:rFonts w:hint="default" w:ascii="Times New Roman" w:hAnsi="Times New Roman"/>
              </w:rPr>
              <w:t>保障北京大兴国际机场临空经济区联合管委会筹建办公室正常办公需要，为临空经济区联合管委会正式组建和运转做好必要准备</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0"/>
        <w:gridCol w:w="1380"/>
        <w:gridCol w:w="1845"/>
        <w:gridCol w:w="2250"/>
        <w:gridCol w:w="1950"/>
        <w:gridCol w:w="5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6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38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845"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25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95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5375"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人员数量</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派驻人员数量</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7人</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租赁办公用房面积</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租赁办公用房面积</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182平方米</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会议接待人员规模</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会议接待人员规模</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≥80人</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伙食补助费领取人数</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伙食补助费领取人数</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3人</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专项办公经费使用人数</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专项办公经费使用人数</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7人</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租赁办公用房质量情况</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办公用房内各项设施齐全运转正常</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正常运转</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办公人员宿舍场地租赁时限</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办公人员宿舍场地租赁时限</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伙食补助标准</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伙食补助标准</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50元/人</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廊坊市市级机关差旅费管理办法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办公经费预算标准</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办公经费预算标准</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≤6500元/人/年</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会议费用</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京冀联合工作领导小组会议费用</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≤1.5万元</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大兴国际机场临空经济区京冀联合工作领导小组议事规则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住宿费用</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派驻人员住宿费用</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≥3911元/间/月</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租赁办公用房费用</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租赁办公用房所支付的费用</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35.21万元</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拉动经济增长</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拉动内需扩大开放</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保障办公人数</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租赁办公用房保障办公需要的人数</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7人</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北京大兴国际机场临空经济区联合管理委员会筹建办公室关于申请临空经济区联合管委会筹建办办公经费2022年预算河北部分的请示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60"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3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84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职工满意度</w:t>
            </w:r>
          </w:p>
        </w:tc>
        <w:tc>
          <w:tcPr>
            <w:tcW w:w="22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单位职工对联合管委会筹建办的满意程度</w:t>
            </w:r>
          </w:p>
        </w:tc>
        <w:tc>
          <w:tcPr>
            <w:tcW w:w="195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537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4" w:name="_Toc_4_4_0000000057"/>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54.临空24班小学开办资金绩效目标表</w:t>
      </w:r>
      <w:bookmarkEnd w:id="5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1.加快临空经济区配套公务设施建设，解决学校正常运转、师生在校安全、教师培训等问题。提升经济区的经济发展软实力，进一步优化营商环境，能明显提高社会效率。</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2.预留办公经费，解决学校正常运转、师生在校安全、教师培训等问题，通过公开招标方式，进行3所学校办公经费中采购安保、物业服务等工作。</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教室数量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配备教育装备的专用教室数量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符合省市相关政策</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符合基本办学标准及相关政策</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配备工作完成时间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配备工作完成时间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2022年9月前完成配备工作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办公经费成本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办公经费成本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≤1809.95万元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培养后备人才</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为社会培养合格的后备人才奠定基础</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人才储备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解决航企职工及居民子女入学问题</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解决服务范围内适龄儿童入学问题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校内相关人员对校内办公环境满意度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5" w:name="_Toc_4_4_000000005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55.临空集团财政补贴资金绩效目标表</w:t>
      </w:r>
      <w:bookmarkEnd w:id="5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1.提升河北临空集团资信度，更好的完成临空区开发建设，提升临空区居民生活水平。</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2.提升河北临空集团资信度，更好的完成临空区开发建设。</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补贴发放企业数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补贴发放企业数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整合方案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补贴发放覆盖率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补贴发放覆盖率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企业补助标准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企业补助标准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11000万元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整合方案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补贴及时率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补贴发放及时率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拉动地方经济发展</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通过政府补贴，带动却经济发展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整合方案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提升企业资信度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提升企业资信度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整合方案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受补助企业满意度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受补助企业满意度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6" w:name="_Toc_4_4_000000005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56.临空集团结算资金绩效目标表</w:t>
      </w:r>
      <w:bookmarkEnd w:id="5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1.根据临空集团建设项目进度，据实核算建设资金，保障临空经济区建设的顺利实施。</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临空集团完成征迁工作数量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临空集团完成征迁工作数量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计划完成率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计划完成率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及时支付</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按资金支付计划及时拨付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资金成本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资金成本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≤301570万元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拉动经济效益</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有效拉动临空经济区经济发展，有效维护临空经济区规划建设稳步发展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扩大社会影响力</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通过业务开展，不断扩大临空经济区（廊坊片区）社会影响力。</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受益群众满意度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7" w:name="_Toc_4_4_000000006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57.临空经济区廊坊片区造林绿化核查服务费绩效目标表</w:t>
      </w:r>
      <w:bookmarkEnd w:id="5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1.用于支付临空经济区廊坊片区造林绿化核查服务费。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核查面积</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核查当年完成的造林绿化面积</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≥4000亩</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2021年廊坊市国土绿化实施方案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造林合格面积完成率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造林绿化合格面积占总面积的比率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核查工作完成时间</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核查工作完成时间</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11月</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每亩收费标准</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造林绿化核查（元/公顷）</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300元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《林业行业调查规划项目收费指导意见》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改善生态环境质量，绿化美化临空经济区</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改善</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图表使用满意度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图表使用者满意度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8" w:name="_Toc_4_4_0000000061"/>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58.临空经济区宣传经费绩效目标表</w:t>
      </w:r>
      <w:bookmarkEnd w:id="5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1.用于支付临空经济区宣传经费。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微信公众号</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维护公众号数量</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≥1个</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宣传活动举办成功率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各项活动按要求成功举办率（%）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≥80%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各项宣传活动完成及时性</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各项宣传活动按照计划完成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≤48.66万元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提高知名度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赴廊坊进行走访人数</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提高</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职工对宣传活动效果满意度（%）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59" w:name="_Toc_4_4_0000000062"/>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59.临空警务中心临时任务工作经费绩效目标表</w:t>
      </w:r>
      <w:bookmarkEnd w:id="5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1.保障临空经济区社会稳定</w:t>
            </w:r>
            <w:r>
              <w:rPr>
                <w:rFonts w:hint="eastAsia" w:ascii="Times New Roman" w:hAnsi="Times New Roman"/>
                <w:lang w:eastAsia="zh-CN"/>
              </w:rPr>
              <w:t>。</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安检岗位人员数量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安检岗位人员数量</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200人</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减速震荡线</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减速震荡线铺设面积</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≥1397㎡</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工程完工及时性</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工程完工及时性</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工程项目验收合格率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工程项目验收合格率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≤317.82万元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安全性</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减低道路交通事故发生率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有效降低</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主管单位满意度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主管单位满意度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工作计划</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60" w:name="_Toc_4_4_0000000063"/>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60.临空一中开办资金绩效目标表</w:t>
      </w:r>
      <w:bookmarkEnd w:id="6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1.加快临空经济区配套公务设施建设，解决学校正常运转、师生在校安全、教师培训等问题。提升经济区的经济发展软实力，进一步优化营商环境，能明显提高社会效率。</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2.预留经费，解决学校正常运转、师生在校安全、教师培训等问题，通过公开招标方式，进行3所学校办公经费中采购安保、物业服务等工作。</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教室数量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配备教育装备的专用教室数量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26间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符合省市相关政策</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符合基本办学标准及相关政策</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配备工作完成时间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配备工作完成时间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2022年9月前完成配备工作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办公经费成本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办公经费成本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≤2452.33万元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培养后备人才</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为社会培养合格的后备人才奠定基础</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人才储备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解决航企职工及居民子女入学问题</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解决服务范围内适龄儿童入学问题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解决</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校内相关人员对校内办公环境满意度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61" w:name="_Toc_4_4_000000006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61.临空综合警务保障资金绩效目标表</w:t>
      </w:r>
      <w:bookmarkEnd w:id="6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助力临空发展综合警务保障项目”的开展，为临空经济区征迁扫尾攻坚、疫情防控、社会维稳等重点工作的顺利实施提供有力保障，为临空经济区的快速稳健发展保驾护航。2.确保2022年度临空经济区征迁扫尾攻坚、疫情防控、社会维稳等重点工作的顺利实施，圆满完成。</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拆迁扫尾完成率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扫尾拆迁数量占摸底调查现存数量的比率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增设监控设备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监控总长</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3.2公里</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治安巡逻覆盖率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治安巡逻覆盖区域面积占区域总面积的比率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工资发放标准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考察工资发放准确情况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安防计划及时完成率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安防工作及时完成情况占计划的比率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≥99%</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提升基层警务人员的服务意识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该指标主要考核能否提升基层警务人员服务意识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长期</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能否创建安定和谐的社会环境</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该指标主要考核能否达到完成征迁扫尾、社会安定的工作要求</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达到</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 xml:space="preserve">提高人民群众安全感 </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群众的安全感是否有所提高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群众对警务工作满意度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调查中满意和较满意群众数量占调查总人数的比率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调查表</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62" w:name="_Toc_4_4_0000000065"/>
      <w:r>
        <w:rPr>
          <w:rFonts w:ascii="Times New Roman" w:hAnsi="Times New Roman" w:eastAsia="方正仿宋_GBK" w:cs="方正仿宋_GBK"/>
          <w:color w:val="000000"/>
          <w:sz w:val="28"/>
        </w:rPr>
        <w:t>62.启动区详细城市设计编制费绩效目标表</w:t>
      </w:r>
      <w:bookmarkEnd w:id="6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坚持“小切口、大循环、压茬推进、自我平衡”，综合区域交通、用地规划、项目招商情况，对已确定的六个产业启动区进行包含城市总体区域空间效果控制、城市公共空间可视化效果控制、城市地块内部风貌导则立体化表达控制等精细化城市设计工作，成果重在协调、梳理街区、组团、建筑之间的内在逻辑关系形成更加怡人的空间环境以及与产业特色高度契合的建筑风貌；建立更加重层次、重关联性的正负面清单，强调对道路街巷系统以及邻里单元系统之间的整体把控；形成便于操作、审核的可视化风貌导则系统，使未来的设计深化具有可靠、直观的依据并兼具一定的灵活度的管控原则。</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2.完成启动区详细城市设计编制，形成启动区24项城市设计导则成果及启动区城市设计图则。</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2122"/>
        <w:gridCol w:w="1949"/>
        <w:gridCol w:w="3743"/>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212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4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7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提交成果成果数量</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规划编制说明书、文本册和图册</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评审通过率</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专家评审通过率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专家评审论证意见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成果提交时间率</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按约定时间及时提交成果及时率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依照合同约定时间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成本控制总价</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项目总价</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≤1500万元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规划落地</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进行包含城市总体区域空间效果控制、城市公共空间可视化效果控制、城市地块内部风貌导则立体化表达控制等精细化城市设计工作</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高质量发展</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指导临空经济区高质量建设</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支撑作用</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建立匹配理想人居环境的高品质城市</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生态空间格局优化</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释放生态活力</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促进作用</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212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4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科室满意度</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有关科室对相关工作满意度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63" w:name="_Toc_4_4_0000000066"/>
      <w:r>
        <w:rPr>
          <w:rFonts w:ascii="Times New Roman" w:hAnsi="Times New Roman" w:eastAsia="方正仿宋_GBK" w:cs="方正仿宋_GBK"/>
          <w:color w:val="000000"/>
          <w:sz w:val="28"/>
        </w:rPr>
        <w:t>63.前线指挥部会议室设备购置资金绩效目标表</w:t>
      </w:r>
      <w:bookmarkEnd w:id="6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1.用于前线指挥部会议室设备购置资金。</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音响系统</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新购置音响系统数量</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设备质量合格</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设备质量合格保证正常运转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设备到位及时</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设备及时到位按报送完成时间</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购置成本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市场价格</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＝2.33万元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提升召开大型、重要会议的能力</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前线指挥部会议室具备召开大型、重要会议的能力。前线指挥部办公区域达到机关同等办公条件。</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职工对会议室的满意程度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64" w:name="_Toc_4_4_0000000067"/>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64.森林督查暨森林资源管理“一张图”更新服务经费绩效目标表</w:t>
      </w:r>
      <w:bookmarkEnd w:id="6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1.完成临空区2022年森林资源管理“一张图”更新工作</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559"/>
        <w:gridCol w:w="4904"/>
        <w:gridCol w:w="1351"/>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55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90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35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55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块数</w:t>
            </w:r>
          </w:p>
        </w:tc>
        <w:tc>
          <w:tcPr>
            <w:tcW w:w="490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图斑数量</w:t>
            </w:r>
          </w:p>
        </w:tc>
        <w:tc>
          <w:tcPr>
            <w:tcW w:w="13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≤360块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森林资源管理“一张图”更新工作计划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55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验收要求</w:t>
            </w:r>
          </w:p>
        </w:tc>
        <w:tc>
          <w:tcPr>
            <w:tcW w:w="490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反映验收合格图斑数量的占比</w:t>
            </w:r>
          </w:p>
        </w:tc>
        <w:tc>
          <w:tcPr>
            <w:tcW w:w="13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55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完成及时率</w:t>
            </w:r>
          </w:p>
        </w:tc>
        <w:tc>
          <w:tcPr>
            <w:tcW w:w="490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反映按计划及时完成更新工作的占比</w:t>
            </w:r>
          </w:p>
        </w:tc>
        <w:tc>
          <w:tcPr>
            <w:tcW w:w="13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55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490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3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≤18万元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55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促进生态文明建设</w:t>
            </w:r>
          </w:p>
        </w:tc>
        <w:tc>
          <w:tcPr>
            <w:tcW w:w="490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年度更新森林资源管理“一张图”，及时掌握森林资源保护利用现状及其消长变化，全面掌握违法违规破坏森林资源情况，推进森林资源常态化、动态化、规范化管理，为森林资源保护管理及生态文明建设重大决策提供科学依据。</w:t>
            </w:r>
          </w:p>
        </w:tc>
        <w:tc>
          <w:tcPr>
            <w:tcW w:w="13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有效促进</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55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490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135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完成情况</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65" w:name="_Toc_4_4_000000006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65.森林资源核查服务费绩效目标表</w:t>
      </w:r>
      <w:bookmarkEnd w:id="6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1.通过该项目的实施完成临空经济区内近远期造林绿化核查等工作，完善基础数据，实现造林管理可视化、数字化、智能化，推动区域生态健康发展，保障临空经济区生态优先、绿色发展理念。</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2.完成省市造林绿化核查工作任务，完成年度造林绿化核查等相关工作，建立临空经济区林业数据库，按时提报准确数据。</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森林资源管理服务面积</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森林资源管理服务面积</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≥4000亩</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2021年廊坊市国土绿化实施方案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工作量完成率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森林资源管理服务工作量完成量占总工作量占比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2021年廊坊市国土绿化实施方案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技术服务合格率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技术服务合格工作量占总工作量占比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造林技术规程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及时完成项目工作量占总工作量占比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≤6.95万元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《林业行业调查规划项目收费指导意见》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改善生态环境质量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改善生态环境质量，绿化美化临空经济区</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改善</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使用单位成员满意度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使用单位成员满意度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66" w:name="_Toc_4_4_000000006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66.审计服务经费绩效目标表</w:t>
      </w:r>
      <w:bookmarkEnd w:id="6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1.通过引入三方服务完善内审制度，对会计部门工作进行监督，强化内部管理制度，加强对临空区注册企业的审计。及时发现问题纠正错误。</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审计工作开展次数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反映审计工作开展次数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工作完成合格率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按要求完成工作数量/总工作量*100%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各项会计工作完成及时率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按计划每项按时完成工作数/总工作数量*100%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审计服务保障期限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反映审计服务工作开展期限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保证项目资金支出合理规范</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保证临空区各项目资金支出合理规范</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财务部门对驻场人员工作的满意度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67" w:name="_Toc_4_4_000000007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67.市容市貌提升工作经费绩效目标表</w:t>
      </w:r>
      <w:bookmarkEnd w:id="6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2"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打造具有临空特色的园林景观风貌，“5.1”、“5.18”、“9.26”、“10.1”等重要节日保障区域景观效果，确保园林项目有序开展并顺利完成，保障临空经济区生态优先、绿色发展理念，全面提升临空经济区生态经济一体化、现代化、国际化水平。</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2.通过项目的开展打造具有临空特色的园林景观风貌，确保园林项目高效有序开展并顺利完成，助力临空经济区门户景观，营造节日气氛，提升区域内人民及工作人员幸福指数。</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节日美化总成本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≤196.33万元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美化工程完成及时率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花卉摆放按期完成率（按预期计划完成拜访数量/总数量）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摆放花卉种类</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节日美化项目摆放花卉种类</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≥23种</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花卉总盆数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摆放花卉总盆数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≥112万盆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景观效果</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提升临空区景观效果</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提升社会影响力</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通过良好的景观效果，提升区域社会影响力</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区域景观价值</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通过良好的景观效果，提升区域价值</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环境质量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提升环境质量，促进区域绿色发展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各部室满意度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临空各部室及参建单位满意度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68" w:name="_Toc_4_4_0000000071"/>
      <w:r>
        <w:rPr>
          <w:rFonts w:ascii="Times New Roman" w:hAnsi="Times New Roman" w:eastAsia="方正仿宋_GBK" w:cs="方正仿宋_GBK"/>
          <w:color w:val="000000"/>
          <w:sz w:val="28"/>
        </w:rPr>
        <w:t>68.市政防汛泵站电费绩效目标表</w:t>
      </w:r>
      <w:bookmarkEnd w:id="6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122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5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1.保证廊坊临空经济区市政雨水泵站正常供电与运行。</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2.根据廊坊临空经济区汛期情况每年运行约100小时。</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每年电费总价</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每年电费总价</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≤4.25万元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电费单价</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电费单价</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0.59元/度</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电费缴纳及时率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电费缴纳及时率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泵站运行时间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保障汛期及时运行</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≤100小时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每小时用电量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每小时泵站使用电量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≤720千瓦时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保证泵站正常运行</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泵站设施完好率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有效保证市政设施运行</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安全性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保证雨水泵站安全运行</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69" w:name="_Toc_4_4_0000000072"/>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69.市政环卫运行经费绩效目标表</w:t>
      </w:r>
      <w:bookmarkEnd w:id="6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1.建成区开展环境卫生工作，市政道路清扫保洁、垃圾清运、公厕管理等工作达到省市考核标准；通过开展垃圾分类工作，创建垃圾分类公共机构试点，保证廊坊临空经济区域内环境卫生质量达标。</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2.区域内环境卫生质量达到“洁净城市”标准，公共机构垃圾分类全覆盖。</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环卫作业总经费</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环卫作业总经费</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≤1262.02万元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环卫作业完成及时率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环卫作业完成及时率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道路清扫保洁面积</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道路清扫保洁面积</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1267745平方米</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管理公厕数量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管理公厕数量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道路清扫每日作业次数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道路清扫每日作业次数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环卫作业质量考核次数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环卫作业质量考核次数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区域环境卫生质量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区域环境卫生质量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市容环境整洁，</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垃圾分类有序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保证环卫日常作业正常开展，垃圾分类宣传推广到位</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绩效考核实现“规范”目标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市民群众满意度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市民群众满意度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70" w:name="_Toc_4_4_0000000073"/>
      <w:r>
        <w:rPr>
          <w:rFonts w:ascii="Times New Roman" w:hAnsi="Times New Roman" w:eastAsia="方正仿宋_GBK" w:cs="方正仿宋_GBK"/>
          <w:color w:val="000000"/>
          <w:sz w:val="28"/>
        </w:rPr>
        <w:t>70.市政路灯电费绩效目标表</w:t>
      </w:r>
      <w:bookmarkEnd w:id="7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2"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1.通过项目实施，保证廊坊临空经济区路灯设施与交通设施正常供电与运行。</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2.通过项目实施，保证廊坊临空经济区内路灯与交通设施正常供电与运行；确保路灯的亮灯率高于98%，保障人们夜间出行安全；保证交通设施正常运行，打造良好出行体验。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每年电费总价</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每年电费总价</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≤278.88万元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电费单价</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电费单价</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0.59元/度</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电费缴纳及时率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电费缴纳及时率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每天用电量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市政设施每天耗电量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≤12951千瓦时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保证路灯、交通设施正常运行</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路灯亮灯率、交通设施完好率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有效保证市政设施运行</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安全性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保证供电安全，行人安全，保障设施安全运行</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城市形象</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提升城市夜景品质，方便市民出行</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1" w:name="_Toc_4_4_000000007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71.素质提升活动经费绩效目标表</w:t>
      </w:r>
      <w:bookmarkEnd w:id="7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1.通过干部培训工作的开展，不断提高临空经济区干部队伍综合素质。</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开设课程数量（门）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预计开设课程数量（门）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≥5门</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培训、会议参加人次</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反映预计培训、会议参加人次</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≥50人次（根据每次培训内容确定参训人次）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会议培训标准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反映会议培训标准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≤0.05万元/人/天</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培训合格人数占培训总人数的比例</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培训、会议天数（天）</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培训、会议每次持续天数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≥0.5天</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受训学员业务应用情况</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受训学员业务应用情况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帮助提升综合素质，提高业务能力</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受训学员满意度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受训学员满意度（%）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2" w:name="_Toc_4_4_000000007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72.土地储备供应咨询及服务费绩效目标表</w:t>
      </w:r>
      <w:bookmarkEnd w:id="7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4"/>
        <w:gridCol w:w="122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1.保障临空区土地征迁工作顺利进行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审批要求</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是否符合审批要求</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符合</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审批意见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工期</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合同规定工期</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依照合同约定时间完成</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服务费</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符合行业收费标准</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≤139万元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扩大社会影响力</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通过业务开展，不断扩大临空经济区（廊坊片区）社会影响力</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扩大</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3" w:name="_Toc_4_4_0000000076"/>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73.土地储备供应咨询评估服务费绩效目标表</w:t>
      </w:r>
      <w:bookmarkEnd w:id="7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1.尽快完成管委会安排部署的既定招商项目、市政项目的土地储备供应工作，保证临空经济区建设进度，保障重点产业项目加速落地</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2.保障重点产业项目加速落地，土地收储和供应工作顺利开展，保证临空经济区建设进度</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987"/>
        <w:gridCol w:w="4014"/>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8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01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测量面积</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反映测量面积</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≥4290亩</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评估宗地数</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反映评估宗地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≥49宗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供地计划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编制计划数量</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反映编制计划数量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编制年度储备计划和供应计划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验收合格率</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反映验收合格符合审批报告和提供成果数的占比</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审批意见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完成及时率</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按计划及时提供成果、报告数量的占比</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≥98%</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≤450万元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增加政府财政收入</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带动临空区经济增长，增加政府收益</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有效带动</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扩大社会影响力</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通过业务开展，不断扩大临空经济区（廊坊片区）社会影响力</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401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74" w:name="_Toc_4_4_0000000077"/>
      <w:r>
        <w:rPr>
          <w:rFonts w:ascii="Times New Roman" w:hAnsi="Times New Roman" w:eastAsia="方正仿宋_GBK" w:cs="方正仿宋_GBK"/>
          <w:color w:val="000000"/>
          <w:sz w:val="28"/>
        </w:rPr>
        <w:t>74.土地转征基层服务费-广阳及固安片区绩效目标表</w:t>
      </w:r>
      <w:bookmarkEnd w:id="7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8"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1.通过项目的开展实现项目用地顺利报批，加快报批基层工作的落实，确保项目用地符合国家的产业政策和用地政策。</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2.对北京大兴国际机场临空经济区（廊坊）管理委员会土地转征工作，实现项目顺利、及时报批。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提交的项目</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提交组卷材料的数量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专家通过数据分析认为报告质量合格</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专家论证意见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报批工作完成及时率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在规定时间内完成报批的比例</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≤96万元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报价明细表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经济影响</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项目建成后促进区域经济发展，带动经济繁荣</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有效促进</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用地规模合理率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促进保护耕地和节约集约用地，项目用地做到标准控制，实现节约集约。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主要项目建设用地控制指标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使用单位满意率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通过问卷调查，反映满意的单位占调查单位数量之比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5" w:name="_Toc_4_4_000000007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75.土地转征基层服务费-永清片区绩效目标表</w:t>
      </w:r>
      <w:bookmarkEnd w:id="7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1225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80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5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1.通过项目的开展实现项目用地顺利报批，加快报批基层工作的落实，确保项目用地符合国家的产业政策和用地政策。</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2.对北京大兴国际机场临空经济区（廊坊）管理委员会土地转征工作，实现项目顺利、及时报批。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提交的项目</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成果数量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组卷材料</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16套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专家通过数据分析认为报告质量合格</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专家论证意见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报批工作完成及时率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在规定时间内完成报批的比例</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≤128万元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报价明细表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经济影响</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项目建成后促进区域经济发展，带动经济繁荣</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有效促进</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用地规模合理率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促进保护耕地和节约集约用地，项目用地做到标准控制，实现节约集约。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主要项目建设用地控制指标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使用单位满意率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通过问卷调查，反映满意的单位占调查单位数量之比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6" w:name="_Toc_4_4_000000007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76.土地转征咨询及服务费绩效目标表</w:t>
      </w:r>
      <w:bookmarkEnd w:id="7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1.保障临空经济区土地征转工作顺利进行</w:t>
            </w:r>
            <w:r>
              <w:rPr>
                <w:rFonts w:hint="eastAsia" w:ascii="Times New Roman" w:hAnsi="Times New Roman"/>
                <w:lang w:eastAsia="zh-CN"/>
              </w:rPr>
              <w:t>。</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批次</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批次数</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≤13个</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审批要求</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是否符合审批要求</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符合</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审批意见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工期</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合同规定工期</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合同工期完成</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服务费</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符合行业收费标准</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≤150.85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扩大社会影响力</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通过业务开展，不断扩大临空经济区（廊坊片区）社会影响力</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扩大</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7" w:name="_Toc_4_4_000000008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77.土地转征组卷服务费绩效目标表</w:t>
      </w:r>
      <w:bookmarkEnd w:id="7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1.为保障廊坊临空经济区2022年度用地需求提供技术支持。</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2.为廊坊临空经济区2022年度土地转征组卷报批工作提供技术支持。</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勘测费</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对被征收土地进行勘测定界，提供勘测成果。</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199.08万元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风险评估费</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对土地征收进行社会稳定和风险评估，出具评估报告</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264万元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历史价格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权属变更调查图斑数量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已登记发证的土地所有权与实际不一致的，进行变更调查</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历史价格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编制规划衔接方案数量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重大项目不符合土地规划的，编制衔接方案</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历史价格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工期</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合同规定工期</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依据合同工期完成</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林地可研报告编制费</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编制林地可研报告，用于林地报批</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≤265.75万元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扩大社会影响力</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通过业务开展，不断扩大临空经济区（廊坊片区）社会影响力</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有关科室对相关工作满意度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hint="eastAsia" w:ascii="仿宋_GB2312" w:hAnsi="仿宋_GB2312" w:eastAsia="仿宋_GB2312" w:cs="仿宋_GB2312"/>
          <w:b w:val="0"/>
          <w:bCs/>
          <w:color w:val="auto"/>
          <w:sz w:val="28"/>
          <w:szCs w:val="28"/>
          <w:lang w:val="en-US" w:eastAsia="zh-CN"/>
        </w:rPr>
        <w:sectPr>
          <w:pgSz w:w="16838" w:h="11906" w:orient="landscape"/>
          <w:pgMar w:top="1800" w:right="1440" w:bottom="1800" w:left="1440" w:header="851" w:footer="992" w:gutter="0"/>
          <w:pgNumType w:fmt="numberInDash"/>
          <w:cols w:space="720" w:num="1"/>
          <w:titlePg/>
          <w:docGrid w:type="lines" w:linePitch="312" w:charSpace="0"/>
        </w:sectPr>
      </w:pPr>
      <w:r>
        <w:rPr>
          <w:rFonts w:hint="eastAsia" w:ascii="Times New Roman" w:hAnsi="Times New Roman" w:eastAsia="方正仿宋_GBK" w:cs="方正仿宋_GBK"/>
          <w:color w:val="000000"/>
          <w:sz w:val="28"/>
          <w:lang w:val="en-US" w:eastAsia="zh-CN"/>
        </w:rPr>
        <w:t>78.</w:t>
      </w:r>
      <w:r>
        <w:rPr>
          <w:rFonts w:hint="eastAsia" w:ascii="仿宋_GB2312" w:hAnsi="仿宋_GB2312" w:eastAsia="仿宋_GB2312" w:cs="仿宋_GB2312"/>
          <w:b w:val="0"/>
          <w:bCs/>
          <w:color w:val="auto"/>
          <w:sz w:val="28"/>
          <w:szCs w:val="28"/>
          <w:lang w:val="en-US" w:eastAsia="zh-CN"/>
        </w:rPr>
        <w:t>其他（涉密）项目</w:t>
      </w:r>
    </w:p>
    <w:p>
      <w:pPr>
        <w:spacing w:before="0" w:after="0" w:line="2" w:lineRule="exact"/>
        <w:ind w:firstLine="0"/>
        <w:jc w:val="center"/>
        <w:outlineLvl w:val="9"/>
        <w:rPr>
          <w:rFonts w:ascii="Times New Roman" w:hAnsi="Times New Roman"/>
        </w:rPr>
      </w:pPr>
    </w:p>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78" w:name="_Toc_4_4_0000000082"/>
      <w:r>
        <w:rPr>
          <w:rFonts w:ascii="Times New Roman" w:hAnsi="Times New Roman" w:eastAsia="方正仿宋_GBK" w:cs="方正仿宋_GBK"/>
          <w:color w:val="000000"/>
          <w:sz w:val="28"/>
        </w:rPr>
        <w:t>79.网络设备建设项目资金绩效目标表</w:t>
      </w:r>
      <w:bookmarkEnd w:id="7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1.保障临空管委会网络顺利运行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网络设备合格率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保障正常运转</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网络设备建设数量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网络设备建设数量</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1批</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网络设备搭建完工及时性</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网络设备搭建完工及时性</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及时完成</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项目实际成本</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网络设备搭建需要费用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≤1.64万元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加强维护临空区规划建设工作稳定开展</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有效加强了临空经济区规划建设安全工作，有效维护了临空经济区规划建设稳定工作</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职工对网络设备的满意程度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≥95%</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79" w:name="_Toc_4_4_0000000083"/>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80.文化提升工作经费绩效目标表</w:t>
      </w:r>
      <w:bookmarkEnd w:id="7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1.广泛开展形式多样的宣传活动，为廊坊临空经济区规划建设凝聚共识、汇聚力量。通过对临空经济区的日常形象宣传进行布置，可以达到提高廊坊临空经济区良好形象以及提高招商引资良好环境的效果。</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活动次数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承办活动次数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宣传方案制作质量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宣传方案制作质量情况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质量良好</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活动完成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及时完成活动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活动成本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文化宣传项目所需成本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≤90.34万元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临空区知名度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增强了临空区知名度，优化招商引资效果</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增强</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根据工作实际和需求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参加活动人员对活动效果满意度（%）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0" w:name="_Toc_4_4_000000008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81.项目审批评估服务费绩效目标表</w:t>
      </w:r>
      <w:bookmarkEnd w:id="8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1.通过项目的开展为临空经济区行政审批工作提供必要支撑，进而服务临空经济区项目建设。</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2.通过项目的开展为临空经济区政务服务中心依法依规开展行政审批工作提供有力保障，为企业提供良好营商环境。</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评估评审服务项目数量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2022年需办理评估评审服务项目数量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≥57个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评估评审结果应用率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评估评审结果应用数占总评估评审结果总数量的比率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评估评审项目服务期限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评估评审项目服务期限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12月</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评审成本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政务服务中心评审总成本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≤799.73万元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加快项目建设进度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促进项目加快办理前期手续，尽快开工建设</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提高政务服务水平</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提高项目前期手续办理效率，改善营商环境</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提高环保工作水平</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保障临空经济区环保工作顺利开展</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企业对审批服务的满意程度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1" w:name="_Toc_4_4_000000008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82.消防设计审查、验收及备案服务费绩效目标表</w:t>
      </w:r>
      <w:bookmarkEnd w:id="8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1.正确履职尽责，保障消防设计审查、消防验收、消防验收备案抽查、消防抽查抽测等工作正常开展，确保消防审验工作质量和工作效率，及时消除审验过程中存在的问题隐患。</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2005"/>
        <w:gridCol w:w="3996"/>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005"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99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消防抽查实际完成率</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项目实际完成率=（实际产出数/计划产出数）×100%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消防审批办结率</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[办结数量/申请数量]×100%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审批及时率</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[实际完成时间/规定完成时限]×100%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成本控制总价为19万元，超出约定不得分</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≤19万元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依照合同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保障生命健康安全</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有效保障地区消防安全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效果显著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防止生命财产损失</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有效防止消防问题带来的生命财产损失</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效果显著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按规定履行消防审验职责</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按规定履职尽责，一次告知，提供技术指导。</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效果显著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保障城市生态安全</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防止火灾，保障城市生态安全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效果显著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00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工程建设单位满意度</w:t>
            </w:r>
          </w:p>
        </w:tc>
        <w:tc>
          <w:tcPr>
            <w:tcW w:w="399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工程建设单位对消防审验工作效率方面的满意度。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2" w:name="_Toc_4_4_0000000086"/>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83.消防站开办资金绩效目标表</w:t>
      </w:r>
      <w:bookmarkEnd w:id="8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3"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根据《城市消防站建设标准》，确保第一、二消防站顺利投入执勤，更好的保护当地群众人身、公共财产安全，为当地社会经济的快速发展提供更加有力的保障，同时能更好地服务大局、服务群众、服务社会，为树立消防救援队伍的良好形象创造了条件，奠定了基础。</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2.完成消防车辆器材装备、生活办公用配套设施的购置和人员招聘上岗，初步保证消防站日常的正常运转。</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消防车数量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考察消防车辆采购情况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招标文件、合同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消防装备器材</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采购完成率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该指标主要考核为第一、二消防站购置消防装备器材计划采购完成情况。</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采购完成率=实际采购数量/计划采购数量*100%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招标文件、合同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该指标主要考核项目实际支出是否控制在预算金额内。</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≤5051万元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询价资料、预算文本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接处警系统正常运行率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该指标主要考察系统建成后运行情况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系统运行记录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消防车辆装备器材、执勤配套设施质量合格率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该指标主要考核消防车辆装备器材、执勤配套设施采购验收情况。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《城市消防站建设标准》、招标文件、合同、验收单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队员工资发放及时性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考察工资发放情况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考察车辆器材装备、办公配套设施购置工作完成及时情况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保持辖区火灾形势稳定</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该指标主要考核能否维持辖区社会稳定</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长期</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社会面火灾形势平稳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保护人民生命财产安全</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该指标主要考核项目实施能否保护生命财产安全。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出勤通知、出勤任务记录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人员配备合理性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考察人员配备情况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制度文件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灭火救援效率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该指标主要考核消防安全事故处理是否及时有效。</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出勤通知、出勤任务记录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消防队员满意度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该指标主要考核消防队员对于所采购消防车辆的满意情况。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90%消防队员认为满意即视为合格</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3" w:name="_Toc_4_4_0000000087"/>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84.协管人员服务费绩效目标表</w:t>
      </w:r>
      <w:bookmarkEnd w:id="8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1.改变临空区人员不足局面，有效促进临空经济区规划建设发展，为加快建设临空经济区保驾护航。</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协管人员数量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≤92人</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根据上年度用工数量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考核次数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反映考核次数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参照临空集团绩效考核办法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协管人员服务质量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反映协管人员服务质量，保障临空区工作有效展开</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协管人员服务费成本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反映协管人员工资、绩效、保险及服务费成本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≤643.89万元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根据上年度实际发生情况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工资发放及时性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反映工资发放的时效情况</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及时发放</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加快临空经济区规划建设</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加快临空经济区规划建设</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有效加快临空经济区规划建设</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缓解就业压力</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缓解就业压力</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有效缓解就业压力</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用工部门满意度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用工部门对协管人员的满意程度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4" w:name="_Toc_4_4_000000008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85.营商环境优化提升（印章免费刻制）经费绩效目标表</w:t>
      </w:r>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1.通过项目的开展实现新注册企业印章（公章、财务章、法人章）刻制免费，降低企业开办成本。</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2.通过项目的开展降低企业开办成本，促进企业开办一日办结，营造一流营商环境</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707"/>
        <w:gridCol w:w="1999"/>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70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9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办理数量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公章、财务章、法人章数量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≤1000套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办理质量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公章、财务章、法人章制作质量合格率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刻制印章及时性</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刻制印章时间满足企业开办一日办结要求</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≤4小时</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工本费</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企业刻制印章及邮寄所需成本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≤29.5万元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加快项目建设进度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促进项目加快办理前期手续，尽快开工建设</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提高政务服务水平</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提高项目前期手续办理效率，改善营商环境</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企业满意度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企业对审批服务的满意程度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bookmarkEnd w:id="84"/>
    </w:tbl>
    <w:p>
      <w:pPr>
        <w:spacing w:before="0" w:after="0" w:line="240" w:lineRule="auto"/>
        <w:ind w:firstLine="0"/>
        <w:jc w:val="center"/>
        <w:outlineLvl w:val="9"/>
        <w:rPr>
          <w:rFonts w:ascii="Times New Roman" w:hAnsi="Times New Roman"/>
        </w:rPr>
      </w:pP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5" w:name="_Toc_4_4_0000000089"/>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86.信访工作经费绩效目标表</w:t>
      </w:r>
      <w:bookmarkEnd w:id="8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1.强化居民依法上访，依法维权意识。促进社会和谐稳定，解决群众切身利益</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宣传展板数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信访宣传展板数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信访举报办结率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已办结数量占总数量比例</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信访受理时限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从受理案件到办理时间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≤15天</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经费总成本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经费总成本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维护社会和谐稳定，解决群众切身利益</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维护社会和谐稳定，解决群众切身利益</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维护社会和谐稳定，解决群众切身利益</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各项运行保障满意度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反映各项运行保障满意度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6" w:name="_Toc_4_4_000000009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87.宣传经费绩效目标表</w:t>
      </w:r>
      <w:bookmarkEnd w:id="8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1.大力宣传廊坊临空经济区规划建设最新成果和先进经验，全面提升廊坊临空经济区影响力。</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委托文化传媒公司进行影像记录、微信公众号运维、官网运维、对上新闻外宣、制作临空宣传片，充分展示廊坊临空经济区的蓬勃朝气、昂扬锐气，进一步提升廊坊在京津冀乃至全国的知名度、影响力及吸引力。</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501"/>
        <w:gridCol w:w="2344"/>
        <w:gridCol w:w="3943"/>
        <w:gridCol w:w="1839"/>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50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344"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9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3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影像记录服务期限</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影像记录服务期限</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央视记者采访次数</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央视记者采访活动次数</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微信公众号运维时长</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微信公众号刊发新闻信息时长</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官方网站运维期限</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官方网站运维服务期限</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对上新闻外宣次数</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对上新闻外宣与媒体服务合作</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临空宣传片制作数量</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临空宣传片制作数量</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KT展板数量</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布置KT展板数量</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廊坊日报APP专题（频道）开设</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廊坊日报APP专题（频道）开设一年</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宣传活动举办成功率</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各项活动按要求成功举办率（%）</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廊坊日报APP点击量</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反应廊坊日报APP点击量</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≥5万次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微信公众平台文章数量</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反应达到微信公众平台文章推送数量要求</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≥1000篇</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官方网站运维质量</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安全监测、运营维护、模块优化等内容</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完成安全监测、运营维护、模块优化等要求</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达到对上新闻外宣发稿数量要求</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全年在报、网、微、端全媒体平台刊发稿件总体数量</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≥700篇</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临空宣传片质量</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达到制作宣传片时间要求</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≥5分钟</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宣传物料合格率</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宣传物料合格数量占总数量的占比</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网络媒体宣传运营</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点击量</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≥5万次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各项宣传活动完成及时性</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各项宣传活动按照计划完成</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影像记录服务费</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影像记录服务费成本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≤8万元/年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央视记者采访行</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央视记者采访行成本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≤5万元/次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微信公众号运维</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微信公众号运维成本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≤29.9万元 /年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官方网站运维</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官方网站运维成本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≤12.2万元 /年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对上新闻外宣</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对上新闻外宣成本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≤9万元 /次</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临空宣传片</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临空宣传片成本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≤80万元/个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廊坊日报APP专题（频道）开设</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廊坊日报APP专题（频道）开设成本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≤10万元/年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网络媒体宣传运营</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网络媒体宣传运营成本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≤10万元/年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户外电子大屏</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户外电子大屏成本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≤3.6万元/年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宣传素材拍摄及后期制作</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宣传素材拍摄及后期制作成本</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≤30万元/年</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日常宣传工作需要支付费用</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临空经济区日常宣传工作需要支付费用</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提高知名度</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赴廊坊进行走访人数</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提升招商引资质效</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项目落地数量</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≥5个</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50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3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群众满意度</w:t>
            </w:r>
          </w:p>
        </w:tc>
        <w:tc>
          <w:tcPr>
            <w:tcW w:w="39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群众对宣传活动效果满意度（%）</w:t>
            </w:r>
          </w:p>
        </w:tc>
        <w:tc>
          <w:tcPr>
            <w:tcW w:w="183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7" w:name="_Toc_4_4_0000000091"/>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88.医疗卫生体系建设与运营规划编制费绩效目标表</w:t>
      </w:r>
      <w:bookmarkEnd w:id="8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按照北京大兴国际机场临空经济区建设安排部署，指导临空经济区高质量建设，开展廊坊临空经济区医疗卫生体系建设与运营规划编制工作，明确临空经济区医疗卫生规划建设标准要求，为高质量建设临空经济区提供依据和指导。</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编制廊坊临空经济区医疗卫生体系建设与运营规划，分析总结出临空经济区廊坊区域医疗卫生体系战略定位及建设目标，对各医疗机构的详细功能定位、投资测算、建设规划、学科规划、运营管理策略和医疗资源谋划等落地性内容，确定各医疗机构建筑规模、布局、功能、工艺流程等做出安排。将规划要求与医院建设工作落实紧密结合。</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2135"/>
        <w:gridCol w:w="1987"/>
        <w:gridCol w:w="3692"/>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2135"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8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69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规划编制方案成果数量</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编制完成后提供最终成果册</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10套</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专家评审通过率</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临空经济区管委会规划建设局组织专家对编制方案进行评审</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完成及时率</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是否按照预算计划及时完成</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财政支出流水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成本控制</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编制规划需要费用</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≤70万元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指导建设实施</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为医疗卫生体系建设提供依据</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健全</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合理规划建设时序、建设标准</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合理确定合理规划建设时序、建设标准，保障建设、运营资源集约节约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科学合理的建设规划</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提出科学合理的建设规划为百姓提供优质的医疗卫生服务</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景观风貌控制</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明确各建设用地的景观风貌建设要求</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2135"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8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科室满意度</w:t>
            </w:r>
          </w:p>
        </w:tc>
        <w:tc>
          <w:tcPr>
            <w:tcW w:w="369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相关科室对工作开展满意度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88" w:name="_Toc_4_4_0000000092"/>
      <w:r>
        <w:rPr>
          <w:rFonts w:ascii="Times New Roman" w:hAnsi="Times New Roman" w:eastAsia="方正仿宋_GBK" w:cs="方正仿宋_GBK"/>
          <w:color w:val="000000"/>
          <w:sz w:val="28"/>
        </w:rPr>
        <w:t>89.疫情防控工作经费绩效目标表</w:t>
      </w:r>
      <w:bookmarkEnd w:id="8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tcBorders>
              <w:bottom w:val="single" w:color="auto" w:sz="4" w:space="0"/>
            </w:tcBorders>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tcBorders>
              <w:bottom w:val="single" w:color="auto" w:sz="4" w:space="0"/>
            </w:tcBorders>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1.保障临空经济区内无感染新冠肺炎病例，如有输入病例确保不扩散。</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2.按时有效完成核酸检测任务，确保物资储备充足，体温检测设备有序运行。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核酸检测人次</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参加核酸检测总人次</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&gt;5000人</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核酸检测频率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核酸检测次数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防控设备购置数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防控设备购置数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2.5L医用酒精75%数量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购置2.5L医用酒精75%数量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≥300桶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医用一次性使用防护服（胶条型）数量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购置医用一次性使用防护服（胶条型）数量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≥400件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核酸检测覆盖面</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参加核酸检测人数/总人数*100%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物资设备合格率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物资设备合格率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核酸检测报告出具时限</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核酸检测报告出具时限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≤24小时</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物资设备到位及时率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物资设备到位及时率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核算检测成本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核酸检测价格</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≤37.91元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历史价格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物资购置成本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物资购置成本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历史价格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设备购置成本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设备购置成本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≤5.32万元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历史价格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降低新冠肺炎感染风险</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降低临空区新冠肺炎传播风险</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降低</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临空各部室参检人员满意度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89" w:name="_Toc_4_4_0000000093"/>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90.</w:t>
      </w:r>
      <w:bookmarkEnd w:id="89"/>
      <w:r>
        <w:rPr>
          <w:rFonts w:ascii="Times New Roman" w:hAnsi="Times New Roman" w:eastAsia="方正仿宋_GBK" w:cs="方正仿宋_GBK"/>
          <w:color w:val="000000"/>
          <w:sz w:val="28"/>
        </w:rPr>
        <w:t xml:space="preserve"> 协管人员经费绩效目标表</w:t>
      </w:r>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1.用于支付协管人员经费。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人数</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协管人员人数</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≥30人</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保障临空区工作有效展开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保障临空区工作有效展开</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及时支付工资保险等费用</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及时支付工资保险等费用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协管人员工资、社保等费用</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协管人员工资、社保等费用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≤241.5万元</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保障工作正常开展</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有效补充临空经济区劳动力缺口，保障临空区工作正常开展。</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有效保障</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领导满意度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临空区领导对协管人员工作满意程度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电话调查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90" w:name="_Toc_4_4_000000009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91.永久基本农田核实补划整改服务费绩效目标表</w:t>
      </w:r>
      <w:bookmarkEnd w:id="9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1.完成廊坊临空经济区内永久基本农田核实、补划，调整永久基本农田布局，在国土空间规划中落实</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2.2022年度完成廊坊临空经济区内永久基本农田核实、补划，调整永久基本农田布局</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永久基本农田核实补划整改</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需核实整改的永久基本农田面积</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1807.12公顷</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临空经济区规划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报告合格率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符合国家政策要求的数量占总报告数量占比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调整报告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按计划及时出具报告数量占总数量的占比</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≥98%</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≤25万元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三方询价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发展可持续</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提升区域发展可持续能力</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项目落地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保障项目落地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提升社会影响力</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项目落地，促进临空经济区建设</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根据项目实际情况确定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完成情况</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91" w:name="_Toc_4_4_000000009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92.优化营商环境政策宣传经费绩效目标表</w:t>
      </w:r>
      <w:bookmarkEnd w:id="9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1.通过项目的开展为临空经济区行政审批工作提供必要支撑，进而服务临空经济区项目建设。</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2.通过项目的开展为临空经济区政务服务中心依法依规开展行政审批工作提供有力保障，为企业提供良好营商环境。</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2258"/>
        <w:gridCol w:w="3743"/>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225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37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证件打印份数</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证件打印份数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≥5000份</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展板标语制作项目数</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展板标语制作项目数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≥11项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纸质宣传材料制作项目数</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纸质宣传材料制作项目数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≥5项</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宣传物料质量合格率</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展板、办事指南、网络宣传等宣传服务合格数与宣传物料总数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宣传物料到位及时率</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物料到位个数与宣传物料总数</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展板标语制作成本</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展板标语制作成本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≤9.79万元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纸质宣传材料制作成本</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纸质宣传材料制作成本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≤9.85万元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证照打印成本</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证照打印成本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≤5.4万元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加快项目建设进度</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促进项目加快办理前期手续，尽快开工建设</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提高政务服务水平</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提高项目前期手续办理效率，改善营商环境</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225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企业满意度</w:t>
            </w:r>
          </w:p>
        </w:tc>
        <w:tc>
          <w:tcPr>
            <w:tcW w:w="37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企业对审批服务的满意程度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问卷调查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92" w:name="_Toc_4_4_0000000096"/>
      <w:r>
        <w:rPr>
          <w:rFonts w:ascii="Times New Roman" w:hAnsi="Times New Roman" w:eastAsia="方正仿宋_GBK" w:cs="方正仿宋_GBK"/>
          <w:color w:val="000000"/>
          <w:sz w:val="28"/>
        </w:rPr>
        <w:t>93.在建工程安全监管评估服务费绩效目标表</w:t>
      </w:r>
      <w:bookmarkEnd w:id="92"/>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1"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1.通过项目的开展，切实提高房屋建筑和市政基础设施工程质量安全，保障人民群众的生命财产安全。</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2.通过委托第三方评估机构协助开展工程质量安全监督检查工作，确保工程质量安全。</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第三方评估服务次数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第三方评估服务次数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80次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第三方评估工作完成率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考核完成率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第三方评估工作质量验收一次性合格率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工作成果验收一次性合格率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第三方评估工作项目完成及时率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各项作业完成及时率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项目质量安全整体水平</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项目质量安全整体水平</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有效确保区域内在建项目质量安全。</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主管单位满意度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主管单位评价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93" w:name="_Toc_4_4_0000000097"/>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94.政务大厅审批辅助服务经费绩效目标表</w:t>
      </w:r>
      <w:bookmarkEnd w:id="93"/>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3"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1.通过项目的开展为临空经济区行政审批工作提供必要支撑，实现统一收件、出件、咨询，为申请人提供咨询、指导、协调和代办等服务，提高申报通过率，提升临空经济区项目建设速度及整体营商环境。</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2.通过项目的开展为临空经济区行政审批工作提供必要支撑，进而服务临空经济区项目建设。</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707"/>
        <w:gridCol w:w="1999"/>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70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9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62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审批辅助人员数量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审批辅助人员数量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≥25人</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服务质量</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审批辅助服务的服务质量</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合格</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服务到位及时率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服务到位数与整体需要被服务群体数量的比值*100</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服务成本</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该项服务所需成本</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≤192.65万元</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加快项目建设进度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促进项目加快办理前期手续，尽快开工建设</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提高政务服务水平</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提高项目前期手续办理效率，改善营商环境</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70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99"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企业满意度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企业对审批服务的满意程度</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62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94" w:name="_Toc_4_4_0000000098"/>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95.制度创新综合研究服务费绩效目标表</w:t>
      </w:r>
      <w:bookmarkEnd w:id="94"/>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需要提供场外服务及驻场服务，驻场人员不少于4人；研究制定片区年度重点工作任务、协助廊坊片区开展年度考核评估、开展片区制度创新案例编写、常态政策技术支持、协助引入重点企业、聚焦重点发展产业协助制定一场产业高质量论坛的活动方案等综合工作，具有现实需求。本项目预计2022年1月开始招标，于2022年支出总投资额的60%，即154.8万元，于2023年支出总投资额的40%，即103.2万元。</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编制制度创新案例</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开展片区制度创新案例编写</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重点企业引入</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协助引入重点企业</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项目成果验收会专家评审通过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通过年度考核</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项目成果通过省自贸办年度考核评估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通过自贸区年度考核评估</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制度创新综合研究项目成本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≤258万元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驻场时间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驻场人员提供服务时限</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≤1年</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扩大社会影响力</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通过业务开展，政策宣传，不断扩大社会影响力</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拉动经济效益</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通过项目开展，拉动临空区经济效益增长</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平均产业经济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职工满意度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职工对制度创新综合研究项目完成情况的满意程度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95" w:name="_Toc_4_4_0000000099"/>
      <w:r>
        <w:rPr>
          <w:rFonts w:ascii="Times New Roman" w:hAnsi="Times New Roman" w:eastAsia="方正仿宋_GBK" w:cs="方正仿宋_GBK"/>
          <w:color w:val="000000"/>
          <w:sz w:val="28"/>
        </w:rPr>
        <w:t>96.智慧办税设备购置资金绩效目标表</w:t>
      </w:r>
      <w:bookmarkEnd w:id="95"/>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9"/>
        <w:gridCol w:w="122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9"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2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1.通过本项目的实施优化税收环境、减轻纳税人负担，提升税收治理能力，营造稳定公平透明、可预期的营商环境，实现税收现代化。</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2.确保临空税务征收厅能够正常建立并投入使用，为临空企业办理业务提供便利。</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设备购买数量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办税大厅购买设备总数量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≥6台</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购置设备合格率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办税大厅购置设备合格数量/购置设备总数量*100%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设备到位及时率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办税大厅购置设备及时到位数量/总数量*100%</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购置成本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各类设备的采购成本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≤42.1万元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优化税收环境</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促进实现税收现代化，减轻纳税人负担</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优化</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提高政务服务水平</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提高项目前期手续办理效率，改善营商环境</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优化</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企业对审批服务的满意程度</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96" w:name="_Toc_4_4_0000000100"/>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97.综合保税区预验收、正式验收工作资金绩效目标表</w:t>
      </w:r>
      <w:bookmarkEnd w:id="96"/>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1.保障大兴国际机场综合保税区预验收、正式验收工作顺利开展，确保验收工作圆满完成。</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2.确保北京大兴国际机场综合保税区验收工作顺利通过</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436"/>
        <w:gridCol w:w="2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89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1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43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997"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验收活动次数</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反映验收活动次数</w:t>
            </w:r>
          </w:p>
          <w:p>
            <w:pPr>
              <w:pStyle w:val="21"/>
              <w:keepNext w:val="0"/>
              <w:keepLines w:val="0"/>
              <w:suppressLineNumbers w:val="0"/>
              <w:spacing w:before="0" w:beforeAutospacing="0" w:after="0" w:afterAutospacing="0"/>
              <w:ind w:left="0" w:right="0"/>
              <w:rPr>
                <w:rFonts w:hint="default" w:ascii="Times New Roman" w:hAnsi="Times New Roman"/>
              </w:rPr>
            </w:pP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2次</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验收工作组验收工作要求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服务物料合格率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合格物料占总数量比例</w:t>
            </w: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服务完成及时率</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服务完成及时情况</w:t>
            </w: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预验收项目和正式验收项目合计成本</w:t>
            </w: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≥111.51万元</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《关于北京大兴国际机场综合保税区预验收活动服务费用征求意见的函》《关于北京大兴国际机场综合保税区验收活动服务费用征求意见的函》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扩大社会影响力</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通过业务开展，政策宣传，不断扩大社会影响力</w:t>
            </w: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扩大</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拉动经济效益</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通过项目开展，拉动临空区经济效益增长</w:t>
            </w: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拉动</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平均产业经济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主流媒体通报次数</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反映主流媒体关注报道情况</w:t>
            </w: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≥10次</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实际报道次数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8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8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服务对象满意程度</w:t>
            </w:r>
          </w:p>
        </w:tc>
        <w:tc>
          <w:tcPr>
            <w:tcW w:w="41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业务科室满意度</w:t>
            </w:r>
          </w:p>
        </w:tc>
        <w:tc>
          <w:tcPr>
            <w:tcW w:w="143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w:t>
            </w:r>
          </w:p>
        </w:tc>
        <w:tc>
          <w:tcPr>
            <w:tcW w:w="2997"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97" w:name="_Toc_4_4_0000000101"/>
      <w:r>
        <w:rPr>
          <w:rFonts w:ascii="Times New Roman" w:hAnsi="Times New Roman" w:eastAsia="方正仿宋_GBK" w:cs="方正仿宋_GBK"/>
          <w:color w:val="000000"/>
          <w:sz w:val="28"/>
        </w:rPr>
        <w:t>98.综合保税区运行维护费用绩效目标表</w:t>
      </w:r>
      <w:bookmarkEnd w:id="97"/>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1.做好“一个机构、三方参与，一个平台、协商分配”的京冀协调发展战略，保障北京大兴国际机场综合保税区封关验收完成后综保区封关验收后高效运行。</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2.通过为海关提供协勤、保安、办公设施管理等服务，保障海关综保区监管业务正常进行。</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608"/>
        <w:gridCol w:w="1913"/>
        <w:gridCol w:w="4293"/>
        <w:gridCol w:w="1680"/>
        <w:gridCol w:w="2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8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608"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91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429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680"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275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协勤保障人数</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按照海关初步要求并参考天竺综保区协勤用工标准</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≥40人</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按照北京海关初步要求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安保人数</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按照海关初步要求并参考天竺综保区协勤用工标准</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≥40人</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《北京市安保服务质量标准》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办公设施管理点位数</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合理的办公设施点位设置全方位服务好入区企业</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7个</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《北京市物业管理条例》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服务人员出勤率</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北京大兴综保区服务人员符合工作出勤标准</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≥98%</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《北京市物业管理条例》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服务响应效率</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服务人员达到入区企业、入区工作人员的认可</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24小时</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《北京市物业管理条例》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协勤人员成本</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按照海关初步要求并参考天竺综保区协勤用工标准</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10000元/人/月</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按照北京海关初步要求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安保人员成本</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按照海关初步要求并参考天竺综保区协勤用工标准</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6000元/人/月</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《北京市安保服务质量标准》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经济增长</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带动京冀协同发展，经济稳步增长</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《关于北京大兴国际机场临空经济区京冀联合工作领导小组第二次会议纪要》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为海关对综保区日常监管提供保障</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保障北京大兴综合保税区稳步运行</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达到预期目标</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《关于北京大兴国际机场临空经济区京冀联合工作领导小组第二次会议纪要》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园区虫鼠害防治合格率</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有效防治园区虫鼠害，维护园区环境，保障入区企业安全</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《病媒生物综合管理技术规范环境治理鼠类》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3"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608"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91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海关满意度</w:t>
            </w:r>
          </w:p>
        </w:tc>
        <w:tc>
          <w:tcPr>
            <w:tcW w:w="429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为北京海关提供合格的办公产所和监管配套措施，保障协同发展</w:t>
            </w:r>
          </w:p>
        </w:tc>
        <w:tc>
          <w:tcPr>
            <w:tcW w:w="1680"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275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海关总署《关于综合保税区验收有关工作的通知》（署贸函〔2019〕209号）</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98" w:name="_Toc_4_4_0000000102"/>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99.综合能源规划深化设计费绩效目标表</w:t>
      </w:r>
      <w:bookmarkEnd w:id="98"/>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1.用于支付综合能源规划深化设计费。</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规划编制方案成果数量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编制完成后提供最终成果册</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10套</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临空区管委会规划建设局验收记录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专家评审通过率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临空经济区管委会规划建设局组织专家对编制方案进行评审</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100%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完成及时率</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是否按照预算计划及时完成</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及时</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成本控制</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编制规划需要费用</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≤88.5万</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根据合同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设施布局</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保障规划的综合能源工程基础设施布局科学合理</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合理安排建设时序</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合理安排各类综合能源工程基础设施的建设步骤</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综合能源设施科学布局，管理体制合理建立</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加大电力、天然气等常规清洁能源和可再生能源利用，减少污染物和碳排放，保护区域生态环境</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合理</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专家评审会议纪要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rPr>
            </w:pP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指导建设实施</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为各类综合能源设施的规划设计提供依据</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健全</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rPr>
            </w:pPr>
            <w:r>
              <w:rPr>
                <w:rFonts w:hint="default"/>
              </w:rPr>
              <w:t>科室满意度</w:t>
            </w:r>
          </w:p>
        </w:tc>
        <w:tc>
          <w:tcPr>
            <w:tcW w:w="2891" w:type="dxa"/>
            <w:vAlign w:val="center"/>
          </w:tcPr>
          <w:p>
            <w:pPr>
              <w:pStyle w:val="21"/>
              <w:keepNext w:val="0"/>
              <w:keepLines w:val="0"/>
              <w:suppressLineNumbers w:val="0"/>
              <w:spacing w:before="0" w:beforeAutospacing="0" w:after="0" w:afterAutospacing="0"/>
              <w:ind w:left="0" w:right="0"/>
              <w:rPr>
                <w:rFonts w:hint="default"/>
              </w:rPr>
            </w:pPr>
            <w:r>
              <w:rPr>
                <w:rFonts w:hint="default"/>
              </w:rPr>
              <w:t>相关科室对工作满意度</w:t>
            </w:r>
          </w:p>
        </w:tc>
        <w:tc>
          <w:tcPr>
            <w:tcW w:w="1276" w:type="dxa"/>
            <w:vAlign w:val="center"/>
          </w:tcPr>
          <w:p>
            <w:pPr>
              <w:pStyle w:val="21"/>
              <w:keepNext w:val="0"/>
              <w:keepLines w:val="0"/>
              <w:suppressLineNumbers w:val="0"/>
              <w:spacing w:before="0" w:beforeAutospacing="0" w:after="0" w:afterAutospacing="0"/>
              <w:ind w:left="0" w:right="0"/>
              <w:rPr>
                <w:rFonts w:hint="default"/>
              </w:rPr>
            </w:pPr>
            <w:r>
              <w:rPr>
                <w:rFonts w:hint="default"/>
              </w:rPr>
              <w:t>≥90%</w:t>
            </w:r>
          </w:p>
        </w:tc>
        <w:tc>
          <w:tcPr>
            <w:tcW w:w="1843" w:type="dxa"/>
            <w:vAlign w:val="center"/>
          </w:tcPr>
          <w:p>
            <w:pPr>
              <w:pStyle w:val="21"/>
              <w:keepNext w:val="0"/>
              <w:keepLines w:val="0"/>
              <w:suppressLineNumbers w:val="0"/>
              <w:spacing w:before="0" w:beforeAutospacing="0" w:after="0" w:afterAutospacing="0"/>
              <w:ind w:left="0" w:right="0"/>
              <w:rPr>
                <w:rFonts w:hint="default"/>
              </w:rPr>
            </w:pPr>
            <w:r>
              <w:rPr>
                <w:rFonts w:hint="default"/>
              </w:rPr>
              <w:t>走访调查</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rPr>
      </w:pPr>
      <w:bookmarkStart w:id="99" w:name="_Toc_4_4_0000000103"/>
      <w:r>
        <w:rPr>
          <w:rFonts w:ascii="Times New Roman" w:hAnsi="Times New Roman" w:eastAsia="方正仿宋_GBK" w:cs="方正仿宋_GBK"/>
          <w:color w:val="000000"/>
          <w:sz w:val="28"/>
        </w:rPr>
        <w:t>100.综合执法队伍工作提升资金绩效目标表</w:t>
      </w:r>
      <w:bookmarkEnd w:id="99"/>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3"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1.充分发挥综合执法局职能，更好的为临空经济区提供执法服务，提高临空经济区城市治理品质。</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2.对内树立综合执法良好形象，提高行政执法人员业务素质，对外通过宣传营造良好执法氛围，专业律师全程咨询切实做到依法行政，依托环保智慧平台全面提升生态环境保护管理智慧化水平。</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业务培训数量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开展业务知识培训次数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宣传活动次数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开展普法宣传次数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≥30次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应急演练</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开展应急演次数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法律咨询</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法律咨询次数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≥100次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夏冬季执法工装</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单位购置成本（元/台、件、辆、套）</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5000套</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宣传普及率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接受宣传人数占区域内常驻人口比例</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≥60％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各项工作完成进度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各项工作完成及时率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纪念品、宣传品运用率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纪念品、宣传品有效消耗数量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培训人数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开展业务知识培训人数出席率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宣传方案制作</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宣传方案制作成本</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≤28万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宣传活动区域</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宣传、活动区域覆盖率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可持续影响指标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提高城市治理水平</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提高整体城市治理水平</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明显提高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提升群众守法意识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提升群众城市守法意识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群众对宣传工作满意度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调查中满意和较满意群众数量占调查总人数的比率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调查表</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00" w:name="_Toc_4_4_0000000104"/>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101.综合执法技术服务经费绩效目标表</w:t>
      </w:r>
      <w:bookmarkEnd w:id="100"/>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0"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1.充分履行综合执法局在土地卫片执法、食品安全执法、安全生产执法领域的工作职能，为廊坊临空经济区的快速稳健发展保驾护航。</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2.通过购买第三方服务，解决相关专业技术问题。为土地卫片执法、食品安全执法、安全生产执法提供有效支撑。圆满完成上述执法工作任务。</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土地执法外业拍照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对土地进行外业拍照</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土地执法内业套核</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建设用地图斑核查</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≥15000亩</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土地执法实地测量</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通过E级GPS或1：500地形数据采集与编辑进行实地测量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≥5000亩</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地上物罚没评估</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地上物、地上建筑物及构筑物评估</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食品质量检测</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通过抽检方式确保食品安全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≥20次</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活动覆盖率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各项活动覆盖率（%）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完成及时率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三方服务及时完成数量占总服务数量的比率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≥98%</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eastAsia" w:ascii="Times New Roman" w:hAnsi="Times New Roman"/>
                <w:lang w:eastAsia="zh-CN"/>
              </w:rPr>
              <w:t>时效</w:t>
            </w:r>
            <w:bookmarkStart w:id="104" w:name="_GoBack"/>
            <w:bookmarkEnd w:id="104"/>
            <w:r>
              <w:rPr>
                <w:rFonts w:hint="default" w:ascii="Times New Roman" w:hAnsi="Times New Roman"/>
              </w:rPr>
              <w:t>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款项支付时间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款项是否及时拨付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参照合同时效比例及时拨付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项目总成本</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控制支付三方服务的总费用</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≤397.16万元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提高综合执法公信力</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是否有助于提高执法公信力</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通过引入独立第三方，提高执法公信力</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经济效益指标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挽回社会经济损失</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避免发生国土资源损失、安全生产、食品安全等事件造成经济损失</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避免发生国土资源损失、安全生产、食品安全等事件造成经济损失</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保持安全生产形势持续稳定</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避免发生重大安全生产事故</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避免发生重大安全生产事故</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土地用途合规率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用途合规土地占全部用地的比率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群众满意度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调查中满意和较满意群众数量占调查总人数的比率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调查表</w:t>
            </w:r>
          </w:p>
        </w:tc>
      </w:tr>
    </w:tbl>
    <w:p>
      <w:pPr>
        <w:spacing w:before="0" w:after="0" w:line="240" w:lineRule="auto"/>
        <w:ind w:firstLine="0"/>
        <w:jc w:val="center"/>
        <w:outlineLvl w:val="9"/>
        <w:rPr>
          <w:rFonts w:ascii="Times New Roman" w:hAnsi="Times New Roman"/>
        </w:rPr>
      </w:pPr>
      <w:r>
        <w:rPr>
          <w:rFonts w:ascii="Times New Roman" w:hAnsi="Times New Roman" w:eastAsia="方正仿宋_GBK" w:cs="方正仿宋_GBK"/>
          <w:color w:val="000000"/>
          <w:sz w:val="28"/>
        </w:rPr>
        <w:t xml:space="preserve"> </w:t>
      </w:r>
    </w:p>
    <w:p>
      <w:pPr>
        <w:spacing w:before="0" w:after="0"/>
        <w:ind w:firstLine="560"/>
        <w:jc w:val="left"/>
        <w:outlineLvl w:val="3"/>
        <w:rPr>
          <w:rFonts w:ascii="Times New Roman" w:hAnsi="Times New Roman" w:eastAsia="方正仿宋_GBK" w:cs="方正仿宋_GBK"/>
          <w:color w:val="000000"/>
          <w:sz w:val="28"/>
        </w:rPr>
        <w:sectPr>
          <w:pgSz w:w="16838" w:h="11906" w:orient="landscape"/>
          <w:pgMar w:top="1800" w:right="1440" w:bottom="1800" w:left="1440" w:header="851" w:footer="992" w:gutter="0"/>
          <w:pgNumType w:fmt="numberInDash"/>
          <w:cols w:space="720" w:num="1"/>
          <w:titlePg/>
          <w:docGrid w:type="lines" w:linePitch="312" w:charSpace="0"/>
        </w:sectPr>
      </w:pPr>
      <w:bookmarkStart w:id="101" w:name="_Toc_4_4_0000000105"/>
    </w:p>
    <w:p>
      <w:pPr>
        <w:spacing w:before="0" w:after="0"/>
        <w:ind w:firstLine="560"/>
        <w:jc w:val="left"/>
        <w:outlineLvl w:val="3"/>
        <w:rPr>
          <w:rFonts w:ascii="Times New Roman" w:hAnsi="Times New Roman"/>
        </w:rPr>
      </w:pPr>
      <w:r>
        <w:rPr>
          <w:rFonts w:ascii="Times New Roman" w:hAnsi="Times New Roman" w:eastAsia="方正仿宋_GBK" w:cs="方正仿宋_GBK"/>
          <w:color w:val="000000"/>
          <w:sz w:val="28"/>
        </w:rPr>
        <w:t>102.综合执法巡查防控资金绩效目标表</w:t>
      </w:r>
      <w:bookmarkEnd w:id="101"/>
    </w:p>
    <w:tbl>
      <w:tblPr>
        <w:tblStyle w:val="9"/>
        <w:tblW w:w="1406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6"/>
        <w:gridCol w:w="1224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绩效目标</w:t>
            </w:r>
          </w:p>
        </w:tc>
        <w:tc>
          <w:tcPr>
            <w:tcW w:w="12244" w:type="dxa"/>
            <w:vAlign w:val="center"/>
          </w:tcPr>
          <w:p>
            <w:pPr>
              <w:pStyle w:val="21"/>
              <w:keepNext w:val="0"/>
              <w:keepLines w:val="0"/>
              <w:suppressLineNumbers w:val="0"/>
              <w:spacing w:before="0" w:beforeAutospacing="0" w:after="0" w:afterAutospacing="0"/>
              <w:ind w:left="0" w:right="0"/>
              <w:rPr>
                <w:rFonts w:hint="eastAsia" w:ascii="Times New Roman" w:hAnsi="Times New Roman" w:eastAsia="方正书宋_GBK"/>
                <w:lang w:eastAsia="zh-CN"/>
              </w:rPr>
            </w:pPr>
            <w:r>
              <w:rPr>
                <w:rFonts w:hint="default" w:ascii="Times New Roman" w:hAnsi="Times New Roman"/>
              </w:rPr>
              <w:t>1.围绕“建设世界一流航空城”的总体目标，加快推动城市治理体系和治理能力现代化。在廊坊临空经济区开展城市精细化管理工作，实现高标准、高品质城市管理服务。</w:t>
            </w:r>
          </w:p>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2.通过巡查防控工作的顺利开展，提升市容环境、减少安全隐患，建立生态环境分区管控体系，打造一批具有典型示范意义的亮点街区，积极创建省级“美丽街区”“精品街道”和“人居环境奖”。</w:t>
            </w:r>
          </w:p>
        </w:tc>
      </w:tr>
    </w:tbl>
    <w:p>
      <w:pPr>
        <w:spacing w:before="0" w:after="0" w:line="2" w:lineRule="exact"/>
        <w:ind w:firstLine="0"/>
        <w:jc w:val="center"/>
        <w:outlineLvl w:val="9"/>
        <w:rPr>
          <w:rFonts w:ascii="Times New Roman" w:hAnsi="Times New Roman"/>
        </w:rPr>
      </w:pPr>
      <w:r>
        <w:rPr>
          <w:rFonts w:ascii="Times New Roman" w:hAnsi="Times New Roman" w:eastAsia="方正书宋_GBK" w:cs="方正书宋_GBK"/>
          <w:color w:val="000000"/>
          <w:sz w:val="21"/>
        </w:rPr>
        <w:t xml:space="preserve"> </w:t>
      </w:r>
    </w:p>
    <w:tbl>
      <w:tblPr>
        <w:tblStyle w:val="9"/>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93"/>
        <w:gridCol w:w="4108"/>
        <w:gridCol w:w="1813"/>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一级指标</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二级指标</w:t>
            </w:r>
          </w:p>
        </w:tc>
        <w:tc>
          <w:tcPr>
            <w:tcW w:w="1332"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三级指标</w:t>
            </w:r>
          </w:p>
        </w:tc>
        <w:tc>
          <w:tcPr>
            <w:tcW w:w="2891"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绩效指标描述</w:t>
            </w:r>
          </w:p>
        </w:tc>
        <w:tc>
          <w:tcPr>
            <w:tcW w:w="1276"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w:t>
            </w:r>
          </w:p>
        </w:tc>
        <w:tc>
          <w:tcPr>
            <w:tcW w:w="1843" w:type="dxa"/>
            <w:vAlign w:val="center"/>
          </w:tcPr>
          <w:p>
            <w:pPr>
              <w:pStyle w:val="19"/>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产出指标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户外广告管理</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规范户外广告及门头牌匾数量</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≥500个</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防火面积</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防火区域总面积</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≤53平方公里</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清理违规占道</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对乱摆摊点等违规占道行为进行清理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≥1500处</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拆除违规建筑</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对私搭乱建等违章建筑进行拆除</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≥50处</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数量指标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在建工程巡察率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每日巡察在建工程数量占总在建工程的比率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市容监察覆盖率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对建成区监察覆盖范围</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巡察防控合格率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达到市容管理标准要求</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生态环境达标率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管控区域生态环境达标比率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质量指标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投诉结案率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对投诉接待问题的结案比率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业务处理及时性</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及时处理业务数占总处理数的比例</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≥90%</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时效指标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款项支付时间</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款项是否及时拨付</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参照合同时效比例及时拨付</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成本指标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项目预算控制</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总体项目预算控制金额</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≤805.8万元</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restart"/>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效益指标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社会服务能力提升</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提升临空经济区市容管理水平</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明显提升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rPr>
            </w:pP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社会效益指标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出行环境舒适度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是否显著提升居民的出行环境</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明显提升</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pPr>
              <w:pStyle w:val="22"/>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满意度指标</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服务对象满意度指标</w:t>
            </w:r>
          </w:p>
        </w:tc>
        <w:tc>
          <w:tcPr>
            <w:tcW w:w="1332"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社会群众满意度</w:t>
            </w:r>
          </w:p>
        </w:tc>
        <w:tc>
          <w:tcPr>
            <w:tcW w:w="2891"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按调查问卷评分</w:t>
            </w:r>
          </w:p>
        </w:tc>
        <w:tc>
          <w:tcPr>
            <w:tcW w:w="1276"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≥95分</w:t>
            </w:r>
          </w:p>
        </w:tc>
        <w:tc>
          <w:tcPr>
            <w:tcW w:w="1843" w:type="dxa"/>
            <w:vAlign w:val="center"/>
          </w:tcPr>
          <w:p>
            <w:pPr>
              <w:pStyle w:val="21"/>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调查问卷</w:t>
            </w:r>
          </w:p>
        </w:tc>
      </w:tr>
    </w:tbl>
    <w:p>
      <w:pPr>
        <w:rPr>
          <w:rFonts w:ascii="Times New Roman" w:hAnsi="Times New Roman"/>
        </w:rPr>
        <w:sectPr>
          <w:pgSz w:w="16838" w:h="11906" w:orient="landscape"/>
          <w:pgMar w:top="1800" w:right="1440" w:bottom="1800" w:left="1440" w:header="851" w:footer="992" w:gutter="0"/>
          <w:pgNumType w:fmt="numberInDash"/>
          <w:cols w:space="720" w:num="1"/>
          <w:titlePg/>
          <w:docGrid w:type="lines" w:linePitch="312" w:charSpace="0"/>
        </w:sectPr>
      </w:pPr>
    </w:p>
    <w:p>
      <w:pPr>
        <w:spacing w:before="0" w:after="0"/>
        <w:ind w:firstLine="560"/>
        <w:jc w:val="left"/>
        <w:outlineLvl w:val="3"/>
        <w:rPr>
          <w:rFonts w:ascii="Times New Roman" w:hAnsi="Times New Roman" w:eastAsia="方正仿宋_GBK" w:cs="方正仿宋_GBK"/>
          <w:color w:val="000000"/>
          <w:sz w:val="28"/>
        </w:rPr>
      </w:pPr>
      <w:r>
        <w:rPr>
          <w:rFonts w:ascii="Times New Roman" w:hAnsi="Times New Roman" w:eastAsia="方正仿宋_GBK" w:cs="方正仿宋_GBK"/>
          <w:color w:val="000000"/>
          <w:sz w:val="28"/>
        </w:rPr>
        <w:t>1</w:t>
      </w:r>
      <w:r>
        <w:rPr>
          <w:rFonts w:hint="eastAsia" w:ascii="Times New Roman" w:hAnsi="Times New Roman" w:eastAsia="方正仿宋_GBK" w:cs="方正仿宋_GBK"/>
          <w:color w:val="000000"/>
          <w:sz w:val="28"/>
          <w:lang w:val="en-US" w:eastAsia="zh-CN"/>
        </w:rPr>
        <w:t>03</w:t>
      </w:r>
      <w:r>
        <w:rPr>
          <w:rFonts w:ascii="Times New Roman" w:hAnsi="Times New Roman" w:eastAsia="方正仿宋_GBK" w:cs="方正仿宋_GBK"/>
          <w:color w:val="000000"/>
          <w:sz w:val="28"/>
        </w:rPr>
        <w:t>、关于提前下达2022年中央财政林业改革发展资金预算的通知绩效目标表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4"/>
        <w:gridCol w:w="1232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431" w:hRule="atLeast"/>
          <w:jc w:val="center"/>
        </w:trPr>
        <w:tc>
          <w:tcPr>
            <w:tcW w:w="2474" w:type="dxa"/>
            <w:tcBorders>
              <w:bottom w:val="single" w:color="FFFFFF" w:sz="6" w:space="0"/>
            </w:tcBorders>
            <w:vAlign w:val="center"/>
          </w:tcPr>
          <w:p>
            <w:pPr>
              <w:pStyle w:val="19"/>
              <w:keepNext w:val="0"/>
              <w:keepLines w:val="0"/>
              <w:suppressLineNumbers w:val="0"/>
              <w:spacing w:before="0" w:beforeAutospacing="0" w:after="0" w:afterAutospacing="0"/>
              <w:ind w:left="0" w:right="0"/>
              <w:rPr>
                <w:rFonts w:hint="default"/>
              </w:rPr>
            </w:pPr>
            <w:r>
              <w:rPr>
                <w:rFonts w:hint="default"/>
              </w:rPr>
              <w:t>绩效目标</w:t>
            </w:r>
          </w:p>
        </w:tc>
        <w:tc>
          <w:tcPr>
            <w:tcW w:w="12324" w:type="dxa"/>
            <w:tcBorders>
              <w:bottom w:val="single" w:color="FFFFFF" w:sz="6" w:space="0"/>
            </w:tcBorders>
            <w:vAlign w:val="center"/>
          </w:tcPr>
          <w:p>
            <w:pPr>
              <w:pStyle w:val="21"/>
              <w:keepNext w:val="0"/>
              <w:keepLines w:val="0"/>
              <w:suppressLineNumbers w:val="0"/>
              <w:spacing w:before="0" w:beforeAutospacing="0" w:after="0" w:afterAutospacing="0"/>
              <w:ind w:left="0" w:right="0"/>
              <w:rPr>
                <w:rFonts w:hint="default"/>
              </w:rPr>
            </w:pPr>
            <w:r>
              <w:rPr>
                <w:rFonts w:hint="default"/>
              </w:rPr>
              <w:t>1.加强森林资源管护，落实纳入森林资源管护补助的国有天然林管护和非国有天然林商品林管护，国家级公益林森林生态效益补偿；推进大规模国土绿化，完成造林、森林抚育约束性指标任务，提升林木良种培育能力和林木良种使用率；开展实地保护修复，实施实地生态效益补偿和实地保护与恢复项目，实施林业科技推广示范项目，加强森林火灾预防和国家重点野生动植物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1417" w:type="dxa"/>
            <w:vAlign w:val="center"/>
          </w:tcPr>
          <w:p>
            <w:pPr>
              <w:pStyle w:val="19"/>
              <w:keepNext w:val="0"/>
              <w:keepLines w:val="0"/>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19"/>
              <w:keepNext w:val="0"/>
              <w:keepLines w:val="0"/>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19"/>
              <w:keepNext w:val="0"/>
              <w:keepLines w:val="0"/>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19"/>
              <w:keepNext w:val="0"/>
              <w:keepLines w:val="0"/>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19"/>
              <w:keepNext w:val="0"/>
              <w:keepLines w:val="0"/>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7"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造林面积（万亩）</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造林面积（万亩）</w:t>
            </w:r>
          </w:p>
        </w:tc>
        <w:tc>
          <w:tcPr>
            <w:tcW w:w="2551" w:type="dxa"/>
            <w:vAlign w:val="center"/>
          </w:tcPr>
          <w:p>
            <w:pPr>
              <w:pStyle w:val="21"/>
              <w:keepNext w:val="0"/>
              <w:keepLines w:val="0"/>
              <w:suppressLineNumbers w:val="0"/>
              <w:spacing w:before="0" w:beforeAutospacing="0" w:after="0" w:afterAutospacing="0"/>
              <w:ind w:left="0" w:right="0"/>
              <w:rPr>
                <w:rFonts w:hint="default"/>
              </w:rPr>
            </w:pPr>
            <w:r>
              <w:rPr>
                <w:rFonts w:hint="default"/>
              </w:rPr>
              <w:t>≥0.2万亩</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7" w:type="dxa"/>
            <w:vMerge w:val="continue"/>
            <w:vAlign w:val="center"/>
          </w:tcPr>
          <w:p>
            <w:pPr>
              <w:keepNext w:val="0"/>
              <w:keepLines w:val="0"/>
              <w:suppressLineNumbers w:val="0"/>
              <w:spacing w:before="0" w:beforeAutospacing="0" w:after="0" w:afterAutospacing="0"/>
              <w:ind w:left="0" w:right="0"/>
              <w:rPr>
                <w:rFonts w:hint="default"/>
              </w:rPr>
            </w:pP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造林完成面积合格率</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造林完成面积合格率</w:t>
            </w:r>
          </w:p>
        </w:tc>
        <w:tc>
          <w:tcPr>
            <w:tcW w:w="2551" w:type="dxa"/>
            <w:vAlign w:val="center"/>
          </w:tcPr>
          <w:p>
            <w:pPr>
              <w:pStyle w:val="21"/>
              <w:keepNext w:val="0"/>
              <w:keepLines w:val="0"/>
              <w:suppressLineNumbers w:val="0"/>
              <w:spacing w:before="0" w:beforeAutospacing="0" w:after="0" w:afterAutospacing="0"/>
              <w:ind w:left="0" w:right="0"/>
              <w:rPr>
                <w:rFonts w:hint="default"/>
              </w:rPr>
            </w:pPr>
            <w:r>
              <w:rPr>
                <w:rFonts w:hint="default"/>
              </w:rPr>
              <w:t>≥85%</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7" w:type="dxa"/>
            <w:vMerge w:val="restart"/>
            <w:vAlign w:val="center"/>
          </w:tcPr>
          <w:p>
            <w:pPr>
              <w:pStyle w:val="22"/>
              <w:keepNext w:val="0"/>
              <w:keepLines w:val="0"/>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森林、湿地生态系统生态效益发挥</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森林、湿地生态系统生态效益发挥</w:t>
            </w:r>
          </w:p>
        </w:tc>
        <w:tc>
          <w:tcPr>
            <w:tcW w:w="2551" w:type="dxa"/>
            <w:vAlign w:val="center"/>
          </w:tcPr>
          <w:p>
            <w:pPr>
              <w:pStyle w:val="21"/>
              <w:keepNext w:val="0"/>
              <w:keepLines w:val="0"/>
              <w:suppressLineNumbers w:val="0"/>
              <w:spacing w:before="0" w:beforeAutospacing="0" w:after="0" w:afterAutospacing="0"/>
              <w:ind w:left="0" w:right="0"/>
              <w:rPr>
                <w:rFonts w:hint="default"/>
              </w:rPr>
            </w:pPr>
            <w:r>
              <w:rPr>
                <w:rFonts w:hint="default"/>
              </w:rPr>
              <w:t>明显</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7" w:type="dxa"/>
            <w:vMerge w:val="continue"/>
            <w:vAlign w:val="center"/>
          </w:tcPr>
          <w:p>
            <w:pPr>
              <w:keepNext w:val="0"/>
              <w:keepLines w:val="0"/>
              <w:suppressLineNumbers w:val="0"/>
              <w:spacing w:before="0" w:beforeAutospacing="0" w:after="0" w:afterAutospacing="0"/>
              <w:ind w:left="0" w:right="0"/>
              <w:rPr>
                <w:rFonts w:hint="default"/>
              </w:rPr>
            </w:pP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森林、湿地、荒漠生态系统功能改善可持续影响</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森林、湿地、荒漠生态系统功能改善可持续影响</w:t>
            </w:r>
          </w:p>
        </w:tc>
        <w:tc>
          <w:tcPr>
            <w:tcW w:w="2551" w:type="dxa"/>
            <w:vAlign w:val="center"/>
          </w:tcPr>
          <w:p>
            <w:pPr>
              <w:pStyle w:val="21"/>
              <w:keepNext w:val="0"/>
              <w:keepLines w:val="0"/>
              <w:suppressLineNumbers w:val="0"/>
              <w:spacing w:before="0" w:beforeAutospacing="0" w:after="0" w:afterAutospacing="0"/>
              <w:ind w:left="0" w:right="0"/>
              <w:rPr>
                <w:rFonts w:hint="default"/>
              </w:rPr>
            </w:pPr>
            <w:r>
              <w:rPr>
                <w:rFonts w:hint="default"/>
              </w:rPr>
              <w:t>明显</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7" w:type="dxa"/>
            <w:vAlign w:val="center"/>
          </w:tcPr>
          <w:p>
            <w:pPr>
              <w:pStyle w:val="22"/>
              <w:keepNext w:val="0"/>
              <w:keepLines w:val="0"/>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w:t>
            </w:r>
          </w:p>
        </w:tc>
        <w:tc>
          <w:tcPr>
            <w:tcW w:w="2835" w:type="dxa"/>
            <w:vAlign w:val="center"/>
          </w:tcPr>
          <w:p>
            <w:pPr>
              <w:pStyle w:val="21"/>
              <w:keepNext w:val="0"/>
              <w:keepLines w:val="0"/>
              <w:suppressLineNumbers w:val="0"/>
              <w:spacing w:before="0" w:beforeAutospacing="0" w:after="0" w:afterAutospacing="0"/>
              <w:ind w:left="0" w:right="0"/>
              <w:rPr>
                <w:rFonts w:hint="default"/>
              </w:rPr>
            </w:pPr>
            <w:r>
              <w:rPr>
                <w:rFonts w:hint="default"/>
              </w:rPr>
              <w:t>服务对象满意度</w:t>
            </w:r>
          </w:p>
        </w:tc>
        <w:tc>
          <w:tcPr>
            <w:tcW w:w="2551" w:type="dxa"/>
            <w:vAlign w:val="center"/>
          </w:tcPr>
          <w:p>
            <w:pPr>
              <w:pStyle w:val="21"/>
              <w:keepNext w:val="0"/>
              <w:keepLines w:val="0"/>
              <w:suppressLineNumbers w:val="0"/>
              <w:spacing w:before="0" w:beforeAutospacing="0" w:after="0" w:afterAutospacing="0"/>
              <w:ind w:left="0" w:right="0"/>
              <w:rPr>
                <w:rFonts w:hint="default"/>
              </w:rPr>
            </w:pPr>
            <w:r>
              <w:rPr>
                <w:rFonts w:hint="default"/>
              </w:rPr>
              <w:t>≥80%</w:t>
            </w:r>
          </w:p>
        </w:tc>
        <w:tc>
          <w:tcPr>
            <w:tcW w:w="2268" w:type="dxa"/>
            <w:vAlign w:val="center"/>
          </w:tcPr>
          <w:p>
            <w:pPr>
              <w:pStyle w:val="21"/>
              <w:keepNext w:val="0"/>
              <w:keepLines w:val="0"/>
              <w:suppressLineNumbers w:val="0"/>
              <w:spacing w:before="0" w:beforeAutospacing="0" w:after="0" w:afterAutospacing="0"/>
              <w:ind w:left="0" w:right="0"/>
              <w:rPr>
                <w:rFonts w:hint="default"/>
              </w:rPr>
            </w:pPr>
            <w:r>
              <w:rPr>
                <w:rFonts w:hint="default"/>
              </w:rPr>
              <w:t>计划标准</w:t>
            </w:r>
          </w:p>
        </w:tc>
      </w:tr>
    </w:tbl>
    <w:p>
      <w:pPr>
        <w:rPr>
          <w:rFonts w:ascii="Times New Roman" w:hAnsi="Times New Roman"/>
        </w:rPr>
      </w:pPr>
    </w:p>
    <w:p>
      <w:pPr>
        <w:rPr>
          <w:rFonts w:ascii="Times New Roman" w:hAnsi="Times New Roman"/>
        </w:rPr>
        <w:sectPr>
          <w:pgSz w:w="16838" w:h="11906" w:orient="landscape"/>
          <w:pgMar w:top="1800" w:right="1440" w:bottom="1800" w:left="1440" w:header="851" w:footer="992" w:gutter="0"/>
          <w:pgNumType w:fmt="numberInDash"/>
          <w:cols w:space="720"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0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w:t>
      </w:r>
      <w:r>
        <w:rPr>
          <w:rFonts w:ascii="Times New Roman" w:hAnsi="Times New Roman" w:eastAsia="仿宋_GB2312" w:cs="Times New Roman"/>
          <w:sz w:val="32"/>
          <w:szCs w:val="24"/>
          <w:highlight w:val="none"/>
        </w:rPr>
        <w:t>采购预算</w:t>
      </w:r>
      <w:r>
        <w:rPr>
          <w:rFonts w:hint="eastAsia" w:ascii="Times New Roman" w:hAnsi="Times New Roman" w:eastAsia="仿宋_GB2312" w:cs="Times New Roman"/>
          <w:sz w:val="32"/>
          <w:szCs w:val="24"/>
          <w:highlight w:val="none"/>
          <w:lang w:val="en-US" w:eastAsia="zh-CN"/>
        </w:rPr>
        <w:t>24054.69</w:t>
      </w:r>
      <w:r>
        <w:rPr>
          <w:rFonts w:ascii="Times New Roman" w:hAnsi="Times New Roman" w:eastAsia="仿宋_GB2312" w:cs="Times New Roman"/>
          <w:sz w:val="32"/>
          <w:szCs w:val="24"/>
          <w:highlight w:val="none"/>
        </w:rPr>
        <w:t>万元</w:t>
      </w:r>
      <w:r>
        <w:rPr>
          <w:rFonts w:ascii="Times New Roman" w:hAnsi="Times New Roman" w:eastAsia="仿宋_GB2312" w:cs="Times New Roman"/>
          <w:sz w:val="32"/>
          <w:szCs w:val="24"/>
        </w:rPr>
        <w:t>。具体内容见下表。</w:t>
      </w:r>
    </w:p>
    <w:bookmarkEnd w:id="102"/>
    <w:p>
      <w:pPr>
        <w:jc w:val="center"/>
        <w:outlineLvl w:val="1"/>
        <w:rPr>
          <w:rFonts w:ascii="方正小标宋_GBK" w:eastAsia="方正小标宋_GBK" w:cs="Times New Roman"/>
          <w:sz w:val="32"/>
        </w:rPr>
      </w:pPr>
      <w:bookmarkStart w:id="103" w:name="_Toc64920910"/>
      <w:r>
        <w:rPr>
          <w:rFonts w:hint="eastAsia" w:ascii="方正小标宋_GBK" w:eastAsia="方正小标宋_GBK" w:cs="Times New Roman"/>
          <w:sz w:val="32"/>
        </w:rPr>
        <w:t>部门政府采购预算</w:t>
      </w:r>
      <w:bookmarkEnd w:id="103"/>
    </w:p>
    <w:tbl>
      <w:tblPr>
        <w:tblStyle w:val="9"/>
        <w:tblW w:w="149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1197"/>
        <w:gridCol w:w="1083"/>
        <w:gridCol w:w="875"/>
        <w:gridCol w:w="727"/>
        <w:gridCol w:w="479"/>
        <w:gridCol w:w="897"/>
        <w:gridCol w:w="1068"/>
        <w:gridCol w:w="1204"/>
        <w:gridCol w:w="1129"/>
        <w:gridCol w:w="959"/>
        <w:gridCol w:w="696"/>
        <w:gridCol w:w="603"/>
        <w:gridCol w:w="725"/>
        <w:gridCol w:w="886"/>
        <w:gridCol w:w="10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17" w:type="dxa"/>
            <w:gridSpan w:val="7"/>
            <w:tcBorders>
              <w:top w:val="single" w:color="FFFFFF" w:sz="6" w:space="0"/>
              <w:left w:val="single" w:color="FFFFFF" w:sz="6" w:space="0"/>
              <w:right w:val="single" w:color="FFFFFF" w:sz="6" w:space="0"/>
            </w:tcBorders>
            <w:vAlign w:val="center"/>
          </w:tcPr>
          <w:p>
            <w:pPr>
              <w:pStyle w:val="26"/>
              <w:keepNext w:val="0"/>
              <w:keepLines w:val="0"/>
              <w:suppressLineNumbers w:val="0"/>
              <w:spacing w:beforeAutospacing="0" w:afterAutospacing="0"/>
              <w:ind w:left="0" w:right="0"/>
              <w:rPr>
                <w:rFonts w:hint="default"/>
              </w:rPr>
            </w:pPr>
            <w:r>
              <w:rPr>
                <w:rFonts w:hint="default"/>
              </w:rPr>
              <w:t>101北京大兴国际机场临空经济区（廊坊）管理委员会</w:t>
            </w:r>
          </w:p>
        </w:tc>
        <w:tc>
          <w:tcPr>
            <w:tcW w:w="8300" w:type="dxa"/>
            <w:gridSpan w:val="9"/>
            <w:tcBorders>
              <w:top w:val="single" w:color="FFFFFF" w:sz="6" w:space="0"/>
              <w:left w:val="single" w:color="FFFFFF" w:sz="6" w:space="0"/>
              <w:right w:val="single" w:color="FFFFFF" w:sz="6" w:space="0"/>
            </w:tcBorders>
            <w:vAlign w:val="center"/>
          </w:tcPr>
          <w:p>
            <w:pPr>
              <w:pStyle w:val="27"/>
              <w:keepNext w:val="0"/>
              <w:keepLines w:val="0"/>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56" w:type="dxa"/>
            <w:gridSpan w:val="2"/>
            <w:vAlign w:val="center"/>
          </w:tcPr>
          <w:p>
            <w:pPr>
              <w:pStyle w:val="19"/>
              <w:keepNext w:val="0"/>
              <w:keepLines w:val="0"/>
              <w:suppressLineNumbers w:val="0"/>
              <w:spacing w:before="0" w:beforeAutospacing="0" w:after="0" w:afterAutospacing="0"/>
              <w:ind w:left="0" w:right="0"/>
              <w:rPr>
                <w:rFonts w:hint="default"/>
              </w:rPr>
            </w:pPr>
            <w:r>
              <w:rPr>
                <w:rFonts w:hint="default"/>
              </w:rPr>
              <w:t>政府采购项目来源</w:t>
            </w:r>
          </w:p>
        </w:tc>
        <w:tc>
          <w:tcPr>
            <w:tcW w:w="1083"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采购物品名称</w:t>
            </w:r>
          </w:p>
        </w:tc>
        <w:tc>
          <w:tcPr>
            <w:tcW w:w="875"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政府采购目录序号</w:t>
            </w:r>
          </w:p>
        </w:tc>
        <w:tc>
          <w:tcPr>
            <w:tcW w:w="727"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计量  单位</w:t>
            </w:r>
          </w:p>
        </w:tc>
        <w:tc>
          <w:tcPr>
            <w:tcW w:w="479"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数量</w:t>
            </w:r>
          </w:p>
        </w:tc>
        <w:tc>
          <w:tcPr>
            <w:tcW w:w="897"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单价</w:t>
            </w:r>
          </w:p>
        </w:tc>
        <w:tc>
          <w:tcPr>
            <w:tcW w:w="7270" w:type="dxa"/>
            <w:gridSpan w:val="8"/>
            <w:vAlign w:val="center"/>
          </w:tcPr>
          <w:p>
            <w:pPr>
              <w:pStyle w:val="19"/>
              <w:keepNext w:val="0"/>
              <w:keepLines w:val="0"/>
              <w:suppressLineNumbers w:val="0"/>
              <w:spacing w:before="0" w:beforeAutospacing="0" w:after="0" w:afterAutospacing="0"/>
              <w:ind w:left="0" w:right="0"/>
              <w:rPr>
                <w:rFonts w:hint="default"/>
              </w:rPr>
            </w:pPr>
            <w:r>
              <w:rPr>
                <w:rFonts w:hint="default"/>
              </w:rPr>
              <w:t>政府采购金额（当年部门预算安排资金）</w:t>
            </w:r>
          </w:p>
        </w:tc>
        <w:tc>
          <w:tcPr>
            <w:tcW w:w="1030" w:type="dxa"/>
            <w:vMerge w:val="restart"/>
            <w:vAlign w:val="center"/>
          </w:tcPr>
          <w:p>
            <w:pPr>
              <w:pStyle w:val="19"/>
              <w:keepNext w:val="0"/>
              <w:keepLines w:val="0"/>
              <w:suppressLineNumbers w:val="0"/>
              <w:spacing w:before="0" w:beforeAutospacing="0" w:after="0" w:afterAutospacing="0"/>
              <w:ind w:left="0" w:right="0"/>
              <w:rPr>
                <w:rFonts w:hint="default"/>
              </w:rPr>
            </w:pPr>
            <w:r>
              <w:rPr>
                <w:rFonts w:hint="default"/>
              </w:rPr>
              <w:t>2022年预留中小微企业份额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vAlign w:val="center"/>
          </w:tcPr>
          <w:p>
            <w:pPr>
              <w:pStyle w:val="19"/>
              <w:keepNext w:val="0"/>
              <w:keepLines w:val="0"/>
              <w:suppressLineNumbers w:val="0"/>
              <w:spacing w:before="0" w:beforeAutospacing="0" w:after="0" w:afterAutospacing="0"/>
              <w:ind w:left="0" w:right="0"/>
              <w:rPr>
                <w:rFonts w:hint="default"/>
              </w:rPr>
            </w:pPr>
            <w:r>
              <w:rPr>
                <w:rFonts w:hint="default"/>
              </w:rPr>
              <w:t>项目名称</w:t>
            </w:r>
          </w:p>
        </w:tc>
        <w:tc>
          <w:tcPr>
            <w:tcW w:w="1197" w:type="dxa"/>
            <w:vAlign w:val="center"/>
          </w:tcPr>
          <w:p>
            <w:pPr>
              <w:pStyle w:val="19"/>
              <w:keepNext w:val="0"/>
              <w:keepLines w:val="0"/>
              <w:suppressLineNumbers w:val="0"/>
              <w:spacing w:before="0" w:beforeAutospacing="0" w:after="0" w:afterAutospacing="0"/>
              <w:ind w:left="0" w:right="0"/>
              <w:rPr>
                <w:rFonts w:hint="default"/>
              </w:rPr>
            </w:pPr>
            <w:r>
              <w:rPr>
                <w:rFonts w:hint="default"/>
              </w:rPr>
              <w:t>预算资金</w:t>
            </w:r>
          </w:p>
        </w:tc>
        <w:tc>
          <w:tcPr>
            <w:tcW w:w="1083" w:type="dxa"/>
            <w:vMerge w:val="continue"/>
          </w:tcPr>
          <w:p>
            <w:pPr>
              <w:keepNext w:val="0"/>
              <w:keepLines w:val="0"/>
              <w:suppressLineNumbers w:val="0"/>
              <w:spacing w:before="0" w:beforeAutospacing="0" w:after="0" w:afterAutospacing="0"/>
              <w:ind w:left="0" w:right="0"/>
              <w:rPr>
                <w:rFonts w:hint="default"/>
              </w:rPr>
            </w:pPr>
          </w:p>
        </w:tc>
        <w:tc>
          <w:tcPr>
            <w:tcW w:w="875" w:type="dxa"/>
            <w:vMerge w:val="continue"/>
          </w:tcPr>
          <w:p>
            <w:pPr>
              <w:keepNext w:val="0"/>
              <w:keepLines w:val="0"/>
              <w:suppressLineNumbers w:val="0"/>
              <w:spacing w:before="0" w:beforeAutospacing="0" w:after="0" w:afterAutospacing="0"/>
              <w:ind w:left="0" w:right="0"/>
              <w:rPr>
                <w:rFonts w:hint="default"/>
              </w:rPr>
            </w:pPr>
          </w:p>
        </w:tc>
        <w:tc>
          <w:tcPr>
            <w:tcW w:w="727" w:type="dxa"/>
            <w:vMerge w:val="continue"/>
          </w:tcPr>
          <w:p>
            <w:pPr>
              <w:keepNext w:val="0"/>
              <w:keepLines w:val="0"/>
              <w:suppressLineNumbers w:val="0"/>
              <w:spacing w:before="0" w:beforeAutospacing="0" w:after="0" w:afterAutospacing="0"/>
              <w:ind w:left="0" w:right="0"/>
              <w:rPr>
                <w:rFonts w:hint="default"/>
              </w:rPr>
            </w:pPr>
          </w:p>
        </w:tc>
        <w:tc>
          <w:tcPr>
            <w:tcW w:w="479" w:type="dxa"/>
            <w:vMerge w:val="continue"/>
          </w:tcPr>
          <w:p>
            <w:pPr>
              <w:keepNext w:val="0"/>
              <w:keepLines w:val="0"/>
              <w:suppressLineNumbers w:val="0"/>
              <w:spacing w:before="0" w:beforeAutospacing="0" w:after="0" w:afterAutospacing="0"/>
              <w:ind w:left="0" w:right="0"/>
              <w:rPr>
                <w:rFonts w:hint="default"/>
              </w:rPr>
            </w:pPr>
          </w:p>
        </w:tc>
        <w:tc>
          <w:tcPr>
            <w:tcW w:w="897" w:type="dxa"/>
            <w:vMerge w:val="continue"/>
          </w:tcPr>
          <w:p>
            <w:pPr>
              <w:keepNext w:val="0"/>
              <w:keepLines w:val="0"/>
              <w:suppressLineNumbers w:val="0"/>
              <w:spacing w:before="0" w:beforeAutospacing="0" w:after="0" w:afterAutospacing="0"/>
              <w:ind w:left="0" w:right="0"/>
              <w:rPr>
                <w:rFonts w:hint="default"/>
              </w:rPr>
            </w:pPr>
          </w:p>
        </w:tc>
        <w:tc>
          <w:tcPr>
            <w:tcW w:w="1068" w:type="dxa"/>
            <w:vAlign w:val="center"/>
          </w:tcPr>
          <w:p>
            <w:pPr>
              <w:pStyle w:val="19"/>
              <w:keepNext w:val="0"/>
              <w:keepLines w:val="0"/>
              <w:suppressLineNumbers w:val="0"/>
              <w:spacing w:before="0" w:beforeAutospacing="0" w:after="0" w:afterAutospacing="0"/>
              <w:ind w:left="0" w:right="0"/>
              <w:rPr>
                <w:rFonts w:hint="default"/>
              </w:rPr>
            </w:pPr>
            <w:r>
              <w:rPr>
                <w:rFonts w:hint="default"/>
              </w:rPr>
              <w:t>合计</w:t>
            </w:r>
          </w:p>
        </w:tc>
        <w:tc>
          <w:tcPr>
            <w:tcW w:w="1204" w:type="dxa"/>
            <w:vAlign w:val="center"/>
          </w:tcPr>
          <w:p>
            <w:pPr>
              <w:pStyle w:val="19"/>
              <w:keepNext w:val="0"/>
              <w:keepLines w:val="0"/>
              <w:suppressLineNumbers w:val="0"/>
              <w:spacing w:before="0" w:beforeAutospacing="0" w:after="0" w:afterAutospacing="0"/>
              <w:ind w:left="0" w:right="0"/>
              <w:rPr>
                <w:rFonts w:hint="default"/>
              </w:rPr>
            </w:pPr>
            <w:r>
              <w:rPr>
                <w:rFonts w:hint="default"/>
              </w:rPr>
              <w:t>一般公共预算拨款</w:t>
            </w:r>
          </w:p>
        </w:tc>
        <w:tc>
          <w:tcPr>
            <w:tcW w:w="1129" w:type="dxa"/>
            <w:vAlign w:val="center"/>
          </w:tcPr>
          <w:p>
            <w:pPr>
              <w:pStyle w:val="19"/>
              <w:keepNext w:val="0"/>
              <w:keepLines w:val="0"/>
              <w:suppressLineNumbers w:val="0"/>
              <w:spacing w:before="0" w:beforeAutospacing="0" w:after="0" w:afterAutospacing="0"/>
              <w:ind w:left="0" w:right="0"/>
              <w:rPr>
                <w:rFonts w:hint="default"/>
              </w:rPr>
            </w:pPr>
            <w:r>
              <w:rPr>
                <w:rFonts w:hint="default"/>
              </w:rPr>
              <w:t>基金预算拨款</w:t>
            </w:r>
          </w:p>
        </w:tc>
        <w:tc>
          <w:tcPr>
            <w:tcW w:w="959" w:type="dxa"/>
            <w:vAlign w:val="center"/>
          </w:tcPr>
          <w:p>
            <w:pPr>
              <w:pStyle w:val="19"/>
              <w:keepNext w:val="0"/>
              <w:keepLines w:val="0"/>
              <w:suppressLineNumbers w:val="0"/>
              <w:spacing w:before="0" w:beforeAutospacing="0" w:after="0" w:afterAutospacing="0"/>
              <w:ind w:left="0" w:right="0"/>
              <w:rPr>
                <w:rFonts w:hint="default"/>
              </w:rPr>
            </w:pPr>
            <w:r>
              <w:rPr>
                <w:rFonts w:hint="default"/>
              </w:rPr>
              <w:t>国有资本经营预算拨款</w:t>
            </w:r>
          </w:p>
        </w:tc>
        <w:tc>
          <w:tcPr>
            <w:tcW w:w="696" w:type="dxa"/>
            <w:vAlign w:val="center"/>
          </w:tcPr>
          <w:p>
            <w:pPr>
              <w:pStyle w:val="19"/>
              <w:keepNext w:val="0"/>
              <w:keepLines w:val="0"/>
              <w:suppressLineNumbers w:val="0"/>
              <w:spacing w:before="0" w:beforeAutospacing="0" w:after="0" w:afterAutospacing="0"/>
              <w:ind w:left="0" w:right="0"/>
              <w:rPr>
                <w:rFonts w:hint="default"/>
              </w:rPr>
            </w:pPr>
            <w:r>
              <w:rPr>
                <w:rFonts w:hint="default"/>
              </w:rPr>
              <w:t>财政专户核拨</w:t>
            </w:r>
          </w:p>
        </w:tc>
        <w:tc>
          <w:tcPr>
            <w:tcW w:w="603" w:type="dxa"/>
            <w:vAlign w:val="center"/>
          </w:tcPr>
          <w:p>
            <w:pPr>
              <w:pStyle w:val="19"/>
              <w:keepNext w:val="0"/>
              <w:keepLines w:val="0"/>
              <w:suppressLineNumbers w:val="0"/>
              <w:spacing w:before="0" w:beforeAutospacing="0" w:after="0" w:afterAutospacing="0"/>
              <w:ind w:left="0" w:right="0"/>
              <w:rPr>
                <w:rFonts w:hint="default"/>
              </w:rPr>
            </w:pPr>
            <w:r>
              <w:rPr>
                <w:rFonts w:hint="default"/>
              </w:rPr>
              <w:t>单位资金</w:t>
            </w:r>
          </w:p>
        </w:tc>
        <w:tc>
          <w:tcPr>
            <w:tcW w:w="725" w:type="dxa"/>
            <w:vAlign w:val="center"/>
          </w:tcPr>
          <w:p>
            <w:pPr>
              <w:pStyle w:val="19"/>
              <w:keepNext w:val="0"/>
              <w:keepLines w:val="0"/>
              <w:suppressLineNumbers w:val="0"/>
              <w:spacing w:before="0" w:beforeAutospacing="0" w:after="0" w:afterAutospacing="0"/>
              <w:ind w:left="0" w:right="0"/>
              <w:rPr>
                <w:rFonts w:hint="default"/>
              </w:rPr>
            </w:pPr>
            <w:r>
              <w:rPr>
                <w:rFonts w:hint="default"/>
              </w:rPr>
              <w:t>财政拨款结转</w:t>
            </w:r>
          </w:p>
        </w:tc>
        <w:tc>
          <w:tcPr>
            <w:tcW w:w="886" w:type="dxa"/>
            <w:vAlign w:val="center"/>
          </w:tcPr>
          <w:p>
            <w:pPr>
              <w:pStyle w:val="19"/>
              <w:keepNext w:val="0"/>
              <w:keepLines w:val="0"/>
              <w:suppressLineNumbers w:val="0"/>
              <w:spacing w:before="0" w:beforeAutospacing="0" w:after="0" w:afterAutospacing="0"/>
              <w:ind w:left="0" w:right="0"/>
              <w:rPr>
                <w:rFonts w:hint="default"/>
              </w:rPr>
            </w:pPr>
            <w:r>
              <w:rPr>
                <w:rFonts w:hint="default"/>
              </w:rPr>
              <w:t>非财政    拨款结    转结余</w:t>
            </w:r>
          </w:p>
        </w:tc>
        <w:tc>
          <w:tcPr>
            <w:tcW w:w="1030" w:type="dxa"/>
            <w:vMerge w:val="continue"/>
          </w:tcPr>
          <w:p>
            <w:pPr>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3"/>
              <w:keepNext w:val="0"/>
              <w:keepLines w:val="0"/>
              <w:suppressLineNumbers w:val="0"/>
              <w:spacing w:before="0" w:beforeAutospacing="0" w:after="0" w:afterAutospacing="0"/>
              <w:ind w:left="0" w:right="0"/>
              <w:rPr>
                <w:rFonts w:hint="default"/>
              </w:rPr>
            </w:pPr>
            <w:r>
              <w:rPr>
                <w:rFonts w:hint="default"/>
              </w:rPr>
              <w:t>合  计</w:t>
            </w:r>
          </w:p>
        </w:tc>
        <w:tc>
          <w:tcPr>
            <w:tcW w:w="1197" w:type="dxa"/>
            <w:vAlign w:val="center"/>
          </w:tcPr>
          <w:p>
            <w:pPr>
              <w:pStyle w:val="24"/>
              <w:keepNext w:val="0"/>
              <w:keepLines w:val="0"/>
              <w:suppressLineNumbers w:val="0"/>
              <w:spacing w:before="0" w:beforeAutospacing="0" w:after="0" w:afterAutospacing="0"/>
              <w:ind w:left="0" w:right="0"/>
              <w:rPr>
                <w:rFonts w:hint="default"/>
              </w:rPr>
            </w:pPr>
          </w:p>
        </w:tc>
        <w:tc>
          <w:tcPr>
            <w:tcW w:w="1083" w:type="dxa"/>
            <w:vAlign w:val="center"/>
          </w:tcPr>
          <w:p>
            <w:pPr>
              <w:pStyle w:val="25"/>
              <w:keepNext w:val="0"/>
              <w:keepLines w:val="0"/>
              <w:suppressLineNumbers w:val="0"/>
              <w:spacing w:before="0" w:beforeAutospacing="0" w:after="0" w:afterAutospacing="0"/>
              <w:ind w:left="0" w:right="0"/>
              <w:rPr>
                <w:rFonts w:hint="default"/>
              </w:rPr>
            </w:pPr>
          </w:p>
        </w:tc>
        <w:tc>
          <w:tcPr>
            <w:tcW w:w="875" w:type="dxa"/>
            <w:vAlign w:val="center"/>
          </w:tcPr>
          <w:p>
            <w:pPr>
              <w:pStyle w:val="25"/>
              <w:keepNext w:val="0"/>
              <w:keepLines w:val="0"/>
              <w:suppressLineNumbers w:val="0"/>
              <w:spacing w:before="0" w:beforeAutospacing="0" w:after="0" w:afterAutospacing="0"/>
              <w:ind w:left="0" w:right="0"/>
              <w:rPr>
                <w:rFonts w:hint="default"/>
              </w:rPr>
            </w:pPr>
          </w:p>
        </w:tc>
        <w:tc>
          <w:tcPr>
            <w:tcW w:w="727" w:type="dxa"/>
            <w:vAlign w:val="center"/>
          </w:tcPr>
          <w:p>
            <w:pPr>
              <w:pStyle w:val="23"/>
              <w:keepNext w:val="0"/>
              <w:keepLines w:val="0"/>
              <w:suppressLineNumbers w:val="0"/>
              <w:spacing w:before="0" w:beforeAutospacing="0" w:after="0" w:afterAutospacing="0"/>
              <w:ind w:left="0" w:right="0"/>
              <w:rPr>
                <w:rFonts w:hint="default"/>
              </w:rPr>
            </w:pPr>
          </w:p>
        </w:tc>
        <w:tc>
          <w:tcPr>
            <w:tcW w:w="479" w:type="dxa"/>
            <w:vAlign w:val="center"/>
          </w:tcPr>
          <w:p>
            <w:pPr>
              <w:pStyle w:val="24"/>
              <w:keepNext w:val="0"/>
              <w:keepLines w:val="0"/>
              <w:suppressLineNumbers w:val="0"/>
              <w:spacing w:before="0" w:beforeAutospacing="0" w:after="0" w:afterAutospacing="0"/>
              <w:ind w:left="0" w:right="0"/>
              <w:rPr>
                <w:rFonts w:hint="default"/>
              </w:rPr>
            </w:pPr>
          </w:p>
        </w:tc>
        <w:tc>
          <w:tcPr>
            <w:tcW w:w="897" w:type="dxa"/>
            <w:vAlign w:val="center"/>
          </w:tcPr>
          <w:p>
            <w:pPr>
              <w:pStyle w:val="24"/>
              <w:keepNext w:val="0"/>
              <w:keepLines w:val="0"/>
              <w:suppressLineNumbers w:val="0"/>
              <w:spacing w:before="0" w:beforeAutospacing="0" w:after="0" w:afterAutospacing="0"/>
              <w:ind w:left="0" w:right="0"/>
              <w:rPr>
                <w:rFonts w:hint="default"/>
              </w:rPr>
            </w:pPr>
          </w:p>
        </w:tc>
        <w:tc>
          <w:tcPr>
            <w:tcW w:w="1068" w:type="dxa"/>
            <w:vAlign w:val="center"/>
          </w:tcPr>
          <w:p>
            <w:pPr>
              <w:pStyle w:val="24"/>
              <w:keepNext w:val="0"/>
              <w:keepLines w:val="0"/>
              <w:suppressLineNumbers w:val="0"/>
              <w:spacing w:before="0" w:beforeAutospacing="0" w:after="0" w:afterAutospacing="0"/>
              <w:ind w:left="0" w:right="0" w:firstLine="0" w:firstLineChars="0"/>
              <w:rPr>
                <w:rFonts w:hint="default"/>
              </w:rPr>
            </w:pPr>
            <w:r>
              <w:rPr>
                <w:rFonts w:hint="eastAsia"/>
                <w:lang w:val="en-US" w:eastAsia="zh-CN"/>
              </w:rPr>
              <w:t>24054</w:t>
            </w:r>
            <w:r>
              <w:rPr>
                <w:rFonts w:hint="default"/>
              </w:rPr>
              <w:t>.69</w:t>
            </w:r>
          </w:p>
        </w:tc>
        <w:tc>
          <w:tcPr>
            <w:tcW w:w="1204" w:type="dxa"/>
            <w:vAlign w:val="center"/>
          </w:tcPr>
          <w:p>
            <w:pPr>
              <w:pStyle w:val="24"/>
              <w:keepNext w:val="0"/>
              <w:keepLines w:val="0"/>
              <w:suppressLineNumbers w:val="0"/>
              <w:spacing w:before="0" w:beforeAutospacing="0" w:after="0" w:afterAutospacing="0"/>
              <w:ind w:left="0" w:right="0" w:firstLine="0" w:firstLineChars="0"/>
              <w:rPr>
                <w:rFonts w:hint="default" w:eastAsia="方正书宋_GBK"/>
                <w:lang w:val="en-US" w:eastAsia="zh-CN"/>
              </w:rPr>
            </w:pPr>
            <w:r>
              <w:rPr>
                <w:rFonts w:hint="eastAsia"/>
                <w:lang w:val="en-US" w:eastAsia="zh-CN"/>
              </w:rPr>
              <w:t>20462.87</w:t>
            </w:r>
          </w:p>
        </w:tc>
        <w:tc>
          <w:tcPr>
            <w:tcW w:w="1129" w:type="dxa"/>
            <w:vAlign w:val="center"/>
          </w:tcPr>
          <w:p>
            <w:pPr>
              <w:pStyle w:val="24"/>
              <w:keepNext w:val="0"/>
              <w:keepLines w:val="0"/>
              <w:suppressLineNumbers w:val="0"/>
              <w:spacing w:before="0" w:beforeAutospacing="0" w:after="0" w:afterAutospacing="0"/>
              <w:ind w:left="0" w:right="0" w:firstLine="0" w:firstLineChars="0"/>
              <w:rPr>
                <w:rFonts w:hint="default"/>
              </w:rPr>
            </w:pPr>
            <w:r>
              <w:rPr>
                <w:rFonts w:hint="default"/>
              </w:rPr>
              <w:t>3591.82</w:t>
            </w:r>
          </w:p>
        </w:tc>
        <w:tc>
          <w:tcPr>
            <w:tcW w:w="959"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696"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603"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725"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886"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1030" w:type="dxa"/>
            <w:vAlign w:val="center"/>
          </w:tcPr>
          <w:p>
            <w:pPr>
              <w:pStyle w:val="24"/>
              <w:keepNext w:val="0"/>
              <w:keepLines w:val="0"/>
              <w:suppressLineNumbers w:val="0"/>
              <w:spacing w:before="0" w:beforeAutospacing="0" w:after="0" w:afterAutospacing="0"/>
              <w:ind w:left="0" w:right="0" w:firstLine="0" w:firstLineChars="0"/>
              <w:rPr>
                <w:rFonts w:hint="default"/>
              </w:rPr>
            </w:pPr>
            <w:r>
              <w:rPr>
                <w:rFonts w:hint="default"/>
              </w:rPr>
              <w:t>10</w:t>
            </w:r>
            <w:r>
              <w:rPr>
                <w:rFonts w:hint="eastAsia"/>
                <w:lang w:val="en-US" w:eastAsia="zh-CN"/>
              </w:rPr>
              <w:t>814</w:t>
            </w:r>
            <w:r>
              <w:rPr>
                <w:rFonts w:hint="default"/>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3"/>
              <w:keepNext w:val="0"/>
              <w:keepLines w:val="0"/>
              <w:suppressLineNumbers w:val="0"/>
              <w:spacing w:before="0" w:beforeAutospacing="0" w:after="0" w:afterAutospacing="0"/>
              <w:ind w:left="0" w:right="0"/>
              <w:rPr>
                <w:rFonts w:hint="default"/>
              </w:rPr>
            </w:pPr>
            <w:r>
              <w:rPr>
                <w:rFonts w:hint="default"/>
              </w:rPr>
              <w:t>北京大兴国际机场临空经济区（廊坊）管理委员会（本级）小计</w:t>
            </w:r>
          </w:p>
        </w:tc>
        <w:tc>
          <w:tcPr>
            <w:tcW w:w="1197" w:type="dxa"/>
            <w:vAlign w:val="center"/>
          </w:tcPr>
          <w:p>
            <w:pPr>
              <w:pStyle w:val="24"/>
              <w:keepNext w:val="0"/>
              <w:keepLines w:val="0"/>
              <w:suppressLineNumbers w:val="0"/>
              <w:spacing w:before="0" w:beforeAutospacing="0" w:after="0" w:afterAutospacing="0"/>
              <w:ind w:left="0" w:right="0"/>
              <w:rPr>
                <w:rFonts w:hint="default"/>
              </w:rPr>
            </w:pPr>
          </w:p>
        </w:tc>
        <w:tc>
          <w:tcPr>
            <w:tcW w:w="1083" w:type="dxa"/>
            <w:vAlign w:val="center"/>
          </w:tcPr>
          <w:p>
            <w:pPr>
              <w:pStyle w:val="25"/>
              <w:keepNext w:val="0"/>
              <w:keepLines w:val="0"/>
              <w:suppressLineNumbers w:val="0"/>
              <w:spacing w:before="0" w:beforeAutospacing="0" w:after="0" w:afterAutospacing="0"/>
              <w:ind w:left="0" w:right="0"/>
              <w:rPr>
                <w:rFonts w:hint="default"/>
              </w:rPr>
            </w:pPr>
          </w:p>
        </w:tc>
        <w:tc>
          <w:tcPr>
            <w:tcW w:w="875" w:type="dxa"/>
            <w:vAlign w:val="center"/>
          </w:tcPr>
          <w:p>
            <w:pPr>
              <w:pStyle w:val="25"/>
              <w:keepNext w:val="0"/>
              <w:keepLines w:val="0"/>
              <w:suppressLineNumbers w:val="0"/>
              <w:spacing w:before="0" w:beforeAutospacing="0" w:after="0" w:afterAutospacing="0"/>
              <w:ind w:left="0" w:right="0"/>
              <w:rPr>
                <w:rFonts w:hint="default"/>
              </w:rPr>
            </w:pPr>
          </w:p>
        </w:tc>
        <w:tc>
          <w:tcPr>
            <w:tcW w:w="727" w:type="dxa"/>
            <w:vAlign w:val="center"/>
          </w:tcPr>
          <w:p>
            <w:pPr>
              <w:pStyle w:val="23"/>
              <w:keepNext w:val="0"/>
              <w:keepLines w:val="0"/>
              <w:suppressLineNumbers w:val="0"/>
              <w:spacing w:before="0" w:beforeAutospacing="0" w:after="0" w:afterAutospacing="0"/>
              <w:ind w:left="0" w:right="0"/>
              <w:rPr>
                <w:rFonts w:hint="default"/>
              </w:rPr>
            </w:pPr>
          </w:p>
        </w:tc>
        <w:tc>
          <w:tcPr>
            <w:tcW w:w="479" w:type="dxa"/>
            <w:vAlign w:val="center"/>
          </w:tcPr>
          <w:p>
            <w:pPr>
              <w:pStyle w:val="24"/>
              <w:keepNext w:val="0"/>
              <w:keepLines w:val="0"/>
              <w:suppressLineNumbers w:val="0"/>
              <w:spacing w:before="0" w:beforeAutospacing="0" w:after="0" w:afterAutospacing="0"/>
              <w:ind w:left="0" w:right="0"/>
              <w:rPr>
                <w:rFonts w:hint="default"/>
              </w:rPr>
            </w:pPr>
          </w:p>
        </w:tc>
        <w:tc>
          <w:tcPr>
            <w:tcW w:w="897" w:type="dxa"/>
            <w:vAlign w:val="center"/>
          </w:tcPr>
          <w:p>
            <w:pPr>
              <w:pStyle w:val="24"/>
              <w:keepNext w:val="0"/>
              <w:keepLines w:val="0"/>
              <w:suppressLineNumbers w:val="0"/>
              <w:spacing w:before="0" w:beforeAutospacing="0" w:after="0" w:afterAutospacing="0"/>
              <w:ind w:left="0" w:right="0"/>
              <w:rPr>
                <w:rFonts w:hint="default"/>
              </w:rPr>
            </w:pPr>
          </w:p>
        </w:tc>
        <w:tc>
          <w:tcPr>
            <w:tcW w:w="1068" w:type="dxa"/>
            <w:vAlign w:val="center"/>
          </w:tcPr>
          <w:p>
            <w:pPr>
              <w:pStyle w:val="24"/>
              <w:keepNext w:val="0"/>
              <w:keepLines w:val="0"/>
              <w:suppressLineNumbers w:val="0"/>
              <w:spacing w:before="0" w:beforeAutospacing="0" w:after="0" w:afterAutospacing="0"/>
              <w:ind w:left="0" w:right="0" w:firstLine="0" w:firstLineChars="0"/>
              <w:rPr>
                <w:rFonts w:hint="default"/>
              </w:rPr>
            </w:pPr>
            <w:r>
              <w:rPr>
                <w:rFonts w:hint="eastAsia"/>
                <w:lang w:val="en-US" w:eastAsia="zh-CN"/>
              </w:rPr>
              <w:t>24054</w:t>
            </w:r>
            <w:r>
              <w:rPr>
                <w:rFonts w:hint="default"/>
              </w:rPr>
              <w:t>.69</w:t>
            </w:r>
          </w:p>
        </w:tc>
        <w:tc>
          <w:tcPr>
            <w:tcW w:w="1204" w:type="dxa"/>
            <w:vAlign w:val="center"/>
          </w:tcPr>
          <w:p>
            <w:pPr>
              <w:pStyle w:val="24"/>
              <w:keepNext w:val="0"/>
              <w:keepLines w:val="0"/>
              <w:suppressLineNumbers w:val="0"/>
              <w:spacing w:before="0" w:beforeAutospacing="0" w:after="0" w:afterAutospacing="0"/>
              <w:ind w:left="0" w:right="0" w:firstLine="0" w:firstLineChars="0"/>
              <w:rPr>
                <w:rFonts w:hint="default"/>
              </w:rPr>
            </w:pPr>
            <w:r>
              <w:rPr>
                <w:rFonts w:hint="eastAsia"/>
                <w:lang w:val="en-US" w:eastAsia="zh-CN"/>
              </w:rPr>
              <w:t>20462</w:t>
            </w:r>
            <w:r>
              <w:rPr>
                <w:rFonts w:hint="default"/>
              </w:rPr>
              <w:t>.87</w:t>
            </w:r>
          </w:p>
        </w:tc>
        <w:tc>
          <w:tcPr>
            <w:tcW w:w="1129" w:type="dxa"/>
            <w:vAlign w:val="center"/>
          </w:tcPr>
          <w:p>
            <w:pPr>
              <w:pStyle w:val="24"/>
              <w:keepNext w:val="0"/>
              <w:keepLines w:val="0"/>
              <w:suppressLineNumbers w:val="0"/>
              <w:spacing w:before="0" w:beforeAutospacing="0" w:after="0" w:afterAutospacing="0"/>
              <w:ind w:left="0" w:right="0" w:firstLine="0" w:firstLineChars="0"/>
              <w:rPr>
                <w:rFonts w:hint="default"/>
              </w:rPr>
            </w:pPr>
            <w:r>
              <w:rPr>
                <w:rFonts w:hint="default"/>
              </w:rPr>
              <w:t>3591.82</w:t>
            </w:r>
          </w:p>
        </w:tc>
        <w:tc>
          <w:tcPr>
            <w:tcW w:w="959"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696"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603"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725"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886" w:type="dxa"/>
            <w:vAlign w:val="center"/>
          </w:tcPr>
          <w:p>
            <w:pPr>
              <w:pStyle w:val="24"/>
              <w:keepNext w:val="0"/>
              <w:keepLines w:val="0"/>
              <w:suppressLineNumbers w:val="0"/>
              <w:spacing w:before="0" w:beforeAutospacing="0" w:after="0" w:afterAutospacing="0"/>
              <w:ind w:left="0" w:right="0" w:firstLine="0" w:firstLineChars="0"/>
              <w:rPr>
                <w:rFonts w:hint="default"/>
              </w:rPr>
            </w:pPr>
          </w:p>
        </w:tc>
        <w:tc>
          <w:tcPr>
            <w:tcW w:w="1030" w:type="dxa"/>
            <w:vAlign w:val="center"/>
          </w:tcPr>
          <w:p>
            <w:pPr>
              <w:pStyle w:val="24"/>
              <w:keepNext w:val="0"/>
              <w:keepLines w:val="0"/>
              <w:suppressLineNumbers w:val="0"/>
              <w:spacing w:before="0" w:beforeAutospacing="0" w:after="0" w:afterAutospacing="0"/>
              <w:ind w:left="0" w:right="0" w:firstLine="0" w:firstLineChars="0"/>
              <w:rPr>
                <w:rFonts w:hint="default"/>
              </w:rPr>
            </w:pPr>
            <w:r>
              <w:rPr>
                <w:rFonts w:hint="default"/>
              </w:rPr>
              <w:t>10</w:t>
            </w:r>
            <w:r>
              <w:rPr>
                <w:rFonts w:hint="eastAsia"/>
                <w:lang w:val="en-US" w:eastAsia="zh-CN"/>
              </w:rPr>
              <w:t>814</w:t>
            </w:r>
            <w:r>
              <w:rPr>
                <w:rFonts w:hint="default"/>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财政综合改革经费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158.73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其他信息技术咨询服务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C020899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158.73</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158.73</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158.73</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158.73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产业综合服务体系编制费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200.00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其他专业技术服务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C0908</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次</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200.00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200.00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200.00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城市环境综合整治提升年活动资金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480.33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其他公共设施施工</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B021599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226.38</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226.38</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226.38</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226.38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城市环境综合整治提升年活动资金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480.33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城市市容管理服务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253.95</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253.95</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253.95</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253.95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档案标准化管理及运行资金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C99</w:t>
            </w:r>
          </w:p>
        </w:tc>
        <w:tc>
          <w:tcPr>
            <w:tcW w:w="727" w:type="dxa"/>
            <w:vAlign w:val="center"/>
          </w:tcPr>
          <w:p>
            <w:pPr>
              <w:pStyle w:val="22"/>
              <w:keepNext w:val="0"/>
              <w:keepLines w:val="0"/>
              <w:suppressLineNumbers w:val="0"/>
              <w:spacing w:before="0" w:beforeAutospacing="0" w:after="0" w:afterAutospacing="0"/>
              <w:ind w:left="0" w:right="0"/>
              <w:rPr>
                <w:rFonts w:hint="eastAsia" w:eastAsia="方正书宋_GBK"/>
                <w:lang w:eastAsia="zh-CN"/>
              </w:rPr>
            </w:pPr>
            <w:r>
              <w:rPr>
                <w:rFonts w:hint="eastAsia"/>
                <w:lang w:eastAsia="zh-CN"/>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防空专项规划编制费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市政公共设施管理服务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C1302</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规划管控导则体系编制费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城市规划和设计服务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规划建设技术咨询服务费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300.00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城市规划和设计服务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300.00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300.00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300.00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国土空间规划一张图研究技术服务费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117.00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城市规划和设计服务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117.00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117.00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117.00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海绵城市建设全过程技术咨询服务费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城市规划和设计服务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基础地理信息数据修补测项目资金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420.00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测绘服务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C0904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400.00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400.00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400.00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基于CIM的城建档案管理系统建设资金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工程项目管理服务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C1005</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基于CIM的城市地下市政基础设施管理信息系统建设资金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190.00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市政公共设施管理服务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C1302</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190.00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190.00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190.00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机场回迁区九年一贯制学校开办资金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3831.38</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其他办公设备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A020299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3437.43</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3437.43</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3437.43</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1031.23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机场回迁区九年一贯制学校开办资金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3831.38</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物业管理服务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C1204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129.60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129.60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129.60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机场回迁区幼儿园开办资金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686.28</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其他办公设备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A020299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349.64</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349.64</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349.64</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104.90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机场回迁区幼儿园开办资金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686.28</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其他建筑物、构筑物修缮</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B0899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277.65</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277.65</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277.65</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277.65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临空24班小学开办资金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1809.95</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其他办公设备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A020299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1543.92</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1543.92</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1543.92</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463.18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临空24班小学开办资金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1809.95</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物业管理服务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C1204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86.40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86.40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86.40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86.40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临空一中开办资金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2452.33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其他办公设备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A020299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2113.32</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2113.32</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2113.32</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634.00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临空一中开办资金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2452.33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物业管理服务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C1204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115.20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115.20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115.20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临空综合警务保障资金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1086.44</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其他构筑物工程施工</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B0299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402.18</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402.18</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402.18</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402.18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临空综合警务保障资金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1086.44</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车辆及其他运输机械租赁服务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C0403</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68.70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68.70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68.70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启动区详细城市设计编制费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城市规划和设计服务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1500.00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市容市貌提升工作经费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196.33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城市市容管理服务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196.33</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196.33</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196.33</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市政环卫运行经费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1262.02</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城市市容管理服务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1262.02</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1262.02</w:t>
            </w:r>
          </w:p>
        </w:tc>
        <w:tc>
          <w:tcPr>
            <w:tcW w:w="1204" w:type="dxa"/>
            <w:vAlign w:val="center"/>
          </w:tcPr>
          <w:p>
            <w:pPr>
              <w:pStyle w:val="20"/>
              <w:keepNext w:val="0"/>
              <w:keepLines w:val="0"/>
              <w:suppressLineNumbers w:val="0"/>
              <w:spacing w:before="0" w:beforeAutospacing="0" w:after="0" w:afterAutospacing="0"/>
              <w:ind w:left="0" w:right="0"/>
              <w:rPr>
                <w:rFonts w:hint="default"/>
              </w:rPr>
            </w:pPr>
          </w:p>
        </w:tc>
        <w:tc>
          <w:tcPr>
            <w:tcW w:w="1129" w:type="dxa"/>
            <w:vAlign w:val="center"/>
          </w:tcPr>
          <w:p>
            <w:pPr>
              <w:pStyle w:val="20"/>
              <w:keepNext w:val="0"/>
              <w:keepLines w:val="0"/>
              <w:suppressLineNumbers w:val="0"/>
              <w:spacing w:before="0" w:beforeAutospacing="0" w:after="0" w:afterAutospacing="0"/>
              <w:ind w:left="0" w:right="0"/>
              <w:rPr>
                <w:rFonts w:hint="default"/>
              </w:rPr>
            </w:pPr>
            <w:r>
              <w:rPr>
                <w:rFonts w:hint="default"/>
              </w:rPr>
              <w:t>1262.02</w:t>
            </w: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土地储备供应咨询评估服务费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450.00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资产及其他评估服务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C0805</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420.00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420.00</w:t>
            </w:r>
          </w:p>
        </w:tc>
        <w:tc>
          <w:tcPr>
            <w:tcW w:w="1204" w:type="dxa"/>
            <w:vAlign w:val="center"/>
          </w:tcPr>
          <w:p>
            <w:pPr>
              <w:pStyle w:val="20"/>
              <w:keepNext w:val="0"/>
              <w:keepLines w:val="0"/>
              <w:suppressLineNumbers w:val="0"/>
              <w:spacing w:before="0" w:beforeAutospacing="0" w:after="0" w:afterAutospacing="0"/>
              <w:ind w:left="0" w:right="0"/>
              <w:rPr>
                <w:rFonts w:hint="default"/>
              </w:rPr>
            </w:pPr>
          </w:p>
        </w:tc>
        <w:tc>
          <w:tcPr>
            <w:tcW w:w="1129" w:type="dxa"/>
            <w:vAlign w:val="center"/>
          </w:tcPr>
          <w:p>
            <w:pPr>
              <w:pStyle w:val="20"/>
              <w:keepNext w:val="0"/>
              <w:keepLines w:val="0"/>
              <w:suppressLineNumbers w:val="0"/>
              <w:spacing w:before="0" w:beforeAutospacing="0" w:after="0" w:afterAutospacing="0"/>
              <w:ind w:left="0" w:right="0"/>
              <w:rPr>
                <w:rFonts w:hint="default"/>
              </w:rPr>
            </w:pPr>
            <w:r>
              <w:rPr>
                <w:rFonts w:hint="default"/>
              </w:rPr>
              <w:t>420.00</w:t>
            </w: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土地转征基层服务费-广阳及固安片区</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96.00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其他专业技术服务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C0908</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96.00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96.00</w:t>
            </w:r>
          </w:p>
        </w:tc>
        <w:tc>
          <w:tcPr>
            <w:tcW w:w="1204" w:type="dxa"/>
            <w:vAlign w:val="center"/>
          </w:tcPr>
          <w:p>
            <w:pPr>
              <w:pStyle w:val="20"/>
              <w:keepNext w:val="0"/>
              <w:keepLines w:val="0"/>
              <w:suppressLineNumbers w:val="0"/>
              <w:spacing w:before="0" w:beforeAutospacing="0" w:after="0" w:afterAutospacing="0"/>
              <w:ind w:left="0" w:right="0"/>
              <w:rPr>
                <w:rFonts w:hint="default"/>
              </w:rPr>
            </w:pPr>
          </w:p>
        </w:tc>
        <w:tc>
          <w:tcPr>
            <w:tcW w:w="1129" w:type="dxa"/>
            <w:vAlign w:val="center"/>
          </w:tcPr>
          <w:p>
            <w:pPr>
              <w:pStyle w:val="20"/>
              <w:keepNext w:val="0"/>
              <w:keepLines w:val="0"/>
              <w:suppressLineNumbers w:val="0"/>
              <w:spacing w:before="0" w:beforeAutospacing="0" w:after="0" w:afterAutospacing="0"/>
              <w:ind w:left="0" w:right="0"/>
              <w:rPr>
                <w:rFonts w:hint="default"/>
              </w:rPr>
            </w:pPr>
            <w:r>
              <w:rPr>
                <w:rFonts w:hint="default"/>
              </w:rPr>
              <w:t>96.00</w:t>
            </w: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土地转征基层服务费-永清片区</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128.00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其他专业技术服务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C0908</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128.00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128.00</w:t>
            </w:r>
          </w:p>
        </w:tc>
        <w:tc>
          <w:tcPr>
            <w:tcW w:w="1204" w:type="dxa"/>
            <w:vAlign w:val="center"/>
          </w:tcPr>
          <w:p>
            <w:pPr>
              <w:pStyle w:val="20"/>
              <w:keepNext w:val="0"/>
              <w:keepLines w:val="0"/>
              <w:suppressLineNumbers w:val="0"/>
              <w:spacing w:before="0" w:beforeAutospacing="0" w:after="0" w:afterAutospacing="0"/>
              <w:ind w:left="0" w:right="0"/>
              <w:rPr>
                <w:rFonts w:hint="default"/>
              </w:rPr>
            </w:pPr>
          </w:p>
        </w:tc>
        <w:tc>
          <w:tcPr>
            <w:tcW w:w="1129" w:type="dxa"/>
            <w:vAlign w:val="center"/>
          </w:tcPr>
          <w:p>
            <w:pPr>
              <w:pStyle w:val="20"/>
              <w:keepNext w:val="0"/>
              <w:keepLines w:val="0"/>
              <w:suppressLineNumbers w:val="0"/>
              <w:spacing w:before="0" w:beforeAutospacing="0" w:after="0" w:afterAutospacing="0"/>
              <w:ind w:left="0" w:right="0"/>
              <w:rPr>
                <w:rFonts w:hint="default"/>
              </w:rPr>
            </w:pPr>
            <w:r>
              <w:rPr>
                <w:rFonts w:hint="default"/>
              </w:rPr>
              <w:t>128.00</w:t>
            </w: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土地转征组卷服务费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880.00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其他专业技术服务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C0908</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880.00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880.00</w:t>
            </w:r>
          </w:p>
        </w:tc>
        <w:tc>
          <w:tcPr>
            <w:tcW w:w="1204" w:type="dxa"/>
            <w:vAlign w:val="center"/>
          </w:tcPr>
          <w:p>
            <w:pPr>
              <w:pStyle w:val="20"/>
              <w:keepNext w:val="0"/>
              <w:keepLines w:val="0"/>
              <w:suppressLineNumbers w:val="0"/>
              <w:spacing w:before="0" w:beforeAutospacing="0" w:after="0" w:afterAutospacing="0"/>
              <w:ind w:left="0" w:right="0"/>
              <w:rPr>
                <w:rFonts w:hint="default"/>
              </w:rPr>
            </w:pPr>
          </w:p>
        </w:tc>
        <w:tc>
          <w:tcPr>
            <w:tcW w:w="1129" w:type="dxa"/>
            <w:vAlign w:val="center"/>
          </w:tcPr>
          <w:p>
            <w:pPr>
              <w:pStyle w:val="20"/>
              <w:keepNext w:val="0"/>
              <w:keepLines w:val="0"/>
              <w:suppressLineNumbers w:val="0"/>
              <w:spacing w:before="0" w:beforeAutospacing="0" w:after="0" w:afterAutospacing="0"/>
              <w:ind w:left="0" w:right="0"/>
              <w:rPr>
                <w:rFonts w:hint="default"/>
              </w:rPr>
            </w:pPr>
            <w:r>
              <w:rPr>
                <w:rFonts w:hint="default"/>
              </w:rPr>
              <w:t>880.00</w:t>
            </w: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项目审批评估服务费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799.73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其他工程咨询管理服务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C1099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799.73</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799.73</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799.73</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799.73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消防站开办资金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5051.00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其他办公设备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A020299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161.14</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161.14</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161.14</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161.14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消防站开办资金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5051.00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消防车</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A02030708</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1660.00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1660.00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1660.00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498.00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消防站开办资金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5051.00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通信网络维护和管理系统</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A020816</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530.00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530.00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530.00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消防站开办资金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5051.00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A032501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1991.00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1991.00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1991.00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597.30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消防站开办资金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5051.00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健身设备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A033626</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125.46</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125.46</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125.46</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125.46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消防站开办资金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5051.00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厨房操作台</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A060801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73.40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73.40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73.40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73.40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宣传经费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303.70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广告服务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C0806</w:t>
            </w:r>
          </w:p>
        </w:tc>
        <w:tc>
          <w:tcPr>
            <w:tcW w:w="727" w:type="dxa"/>
            <w:vAlign w:val="center"/>
          </w:tcPr>
          <w:p>
            <w:pPr>
              <w:pStyle w:val="22"/>
              <w:keepNext w:val="0"/>
              <w:keepLines w:val="0"/>
              <w:suppressLineNumbers w:val="0"/>
              <w:spacing w:before="0" w:beforeAutospacing="0" w:after="0" w:afterAutospacing="0"/>
              <w:ind w:left="0" w:right="0"/>
              <w:rPr>
                <w:rFonts w:hint="eastAsia" w:eastAsia="方正书宋_GBK"/>
                <w:lang w:eastAsia="zh-CN"/>
              </w:rPr>
            </w:pPr>
            <w:r>
              <w:rPr>
                <w:rFonts w:hint="eastAsia"/>
                <w:lang w:eastAsia="zh-CN"/>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190.10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190.10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190.10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190.10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医疗卫生体系建设与运营规划编制费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70.00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城市规划和设计服务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C1301</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70.00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70.00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70.00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在建工程安全监管评估服务费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其他工程咨询管理服务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C1099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100.00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政务大厅审批辅助服务经费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192.65</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192.65</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192.65</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192.65</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192.65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制度创新综合研究服务费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154.80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信息技术管理咨询服务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C020803</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154.80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154.80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154.80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智慧办税设备购置资金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42.10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其他办公设备</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A020299</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32.00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32.00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32.00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综合执法队伍工作提升资金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199.73</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车辆及其他运输机械租赁服务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C0403</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综合执法技术服务经费</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397.16</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其他专业技术服务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C0908</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373.16</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373.16</w:t>
            </w:r>
          </w:p>
        </w:tc>
        <w:tc>
          <w:tcPr>
            <w:tcW w:w="1204" w:type="dxa"/>
            <w:vAlign w:val="center"/>
          </w:tcPr>
          <w:p>
            <w:pPr>
              <w:pStyle w:val="20"/>
              <w:keepNext w:val="0"/>
              <w:keepLines w:val="0"/>
              <w:suppressLineNumbers w:val="0"/>
              <w:spacing w:before="0" w:beforeAutospacing="0" w:after="0" w:afterAutospacing="0"/>
              <w:ind w:left="0" w:right="0"/>
              <w:rPr>
                <w:rFonts w:hint="default"/>
              </w:rPr>
            </w:pPr>
            <w:r>
              <w:rPr>
                <w:rFonts w:hint="default"/>
              </w:rPr>
              <w:t>373.16</w:t>
            </w:r>
          </w:p>
        </w:tc>
        <w:tc>
          <w:tcPr>
            <w:tcW w:w="1129" w:type="dxa"/>
            <w:vAlign w:val="center"/>
          </w:tcPr>
          <w:p>
            <w:pPr>
              <w:pStyle w:val="20"/>
              <w:keepNext w:val="0"/>
              <w:keepLines w:val="0"/>
              <w:suppressLineNumbers w:val="0"/>
              <w:spacing w:before="0" w:beforeAutospacing="0" w:after="0" w:afterAutospacing="0"/>
              <w:ind w:left="0" w:right="0"/>
              <w:rPr>
                <w:rFonts w:hint="default"/>
              </w:rPr>
            </w:pP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r>
              <w:rPr>
                <w:rFonts w:hint="default"/>
              </w:rPr>
              <w:t>373.16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rPr>
                <w:rFonts w:hint="default"/>
              </w:rPr>
            </w:pPr>
            <w:r>
              <w:rPr>
                <w:rFonts w:hint="default"/>
              </w:rPr>
              <w:t>综合执法巡查防控资金</w:t>
            </w:r>
          </w:p>
        </w:tc>
        <w:tc>
          <w:tcPr>
            <w:tcW w:w="1197" w:type="dxa"/>
            <w:vAlign w:val="center"/>
          </w:tcPr>
          <w:p>
            <w:pPr>
              <w:pStyle w:val="20"/>
              <w:keepNext w:val="0"/>
              <w:keepLines w:val="0"/>
              <w:suppressLineNumbers w:val="0"/>
              <w:spacing w:before="0" w:beforeAutospacing="0" w:after="0" w:afterAutospacing="0"/>
              <w:ind w:left="0" w:right="0"/>
              <w:rPr>
                <w:rFonts w:hint="default"/>
              </w:rPr>
            </w:pPr>
            <w:r>
              <w:rPr>
                <w:rFonts w:hint="default"/>
              </w:rPr>
              <w:t>805.80</w:t>
            </w:r>
          </w:p>
        </w:tc>
        <w:tc>
          <w:tcPr>
            <w:tcW w:w="1083" w:type="dxa"/>
            <w:vAlign w:val="center"/>
          </w:tcPr>
          <w:p>
            <w:pPr>
              <w:pStyle w:val="21"/>
              <w:keepNext w:val="0"/>
              <w:keepLines w:val="0"/>
              <w:suppressLineNumbers w:val="0"/>
              <w:spacing w:before="0" w:beforeAutospacing="0" w:after="0" w:afterAutospacing="0"/>
              <w:ind w:left="0" w:right="0"/>
              <w:rPr>
                <w:rFonts w:hint="default"/>
              </w:rPr>
            </w:pPr>
            <w:r>
              <w:rPr>
                <w:rFonts w:hint="default"/>
              </w:rPr>
              <w:t>城市市容管理服务</w:t>
            </w:r>
          </w:p>
        </w:tc>
        <w:tc>
          <w:tcPr>
            <w:tcW w:w="875" w:type="dxa"/>
            <w:vAlign w:val="center"/>
          </w:tcPr>
          <w:p>
            <w:pPr>
              <w:pStyle w:val="21"/>
              <w:keepNext w:val="0"/>
              <w:keepLines w:val="0"/>
              <w:suppressLineNumbers w:val="0"/>
              <w:spacing w:before="0" w:beforeAutospacing="0" w:after="0" w:afterAutospacing="0"/>
              <w:ind w:left="0" w:right="0"/>
              <w:rPr>
                <w:rFonts w:hint="default"/>
              </w:rPr>
            </w:pPr>
            <w:r>
              <w:rPr>
                <w:rFonts w:hint="default"/>
              </w:rPr>
              <w:t>C1304</w:t>
            </w:r>
          </w:p>
        </w:tc>
        <w:tc>
          <w:tcPr>
            <w:tcW w:w="727" w:type="dxa"/>
            <w:vAlign w:val="center"/>
          </w:tcPr>
          <w:p>
            <w:pPr>
              <w:pStyle w:val="22"/>
              <w:keepNext w:val="0"/>
              <w:keepLines w:val="0"/>
              <w:suppressLineNumbers w:val="0"/>
              <w:spacing w:before="0" w:beforeAutospacing="0" w:after="0" w:afterAutospacing="0"/>
              <w:ind w:left="0" w:right="0"/>
              <w:rPr>
                <w:rFonts w:hint="default"/>
              </w:rPr>
            </w:pPr>
            <w:r>
              <w:rPr>
                <w:rFonts w:hint="default"/>
              </w:rPr>
              <w:t>项</w:t>
            </w:r>
          </w:p>
        </w:tc>
        <w:tc>
          <w:tcPr>
            <w:tcW w:w="479" w:type="dxa"/>
            <w:vAlign w:val="center"/>
          </w:tcPr>
          <w:p>
            <w:pPr>
              <w:pStyle w:val="20"/>
              <w:keepNext w:val="0"/>
              <w:keepLines w:val="0"/>
              <w:suppressLineNumbers w:val="0"/>
              <w:spacing w:before="0" w:beforeAutospacing="0" w:after="0" w:afterAutospacing="0"/>
              <w:ind w:left="0" w:right="0"/>
              <w:rPr>
                <w:rFonts w:hint="default"/>
              </w:rPr>
            </w:pPr>
            <w:r>
              <w:rPr>
                <w:rFonts w:hint="default"/>
              </w:rPr>
              <w:t>1</w:t>
            </w:r>
          </w:p>
        </w:tc>
        <w:tc>
          <w:tcPr>
            <w:tcW w:w="897" w:type="dxa"/>
            <w:vAlign w:val="center"/>
          </w:tcPr>
          <w:p>
            <w:pPr>
              <w:pStyle w:val="20"/>
              <w:keepNext w:val="0"/>
              <w:keepLines w:val="0"/>
              <w:suppressLineNumbers w:val="0"/>
              <w:spacing w:before="0" w:beforeAutospacing="0" w:after="0" w:afterAutospacing="0"/>
              <w:ind w:left="0" w:right="0"/>
              <w:rPr>
                <w:rFonts w:hint="default"/>
              </w:rPr>
            </w:pPr>
            <w:r>
              <w:rPr>
                <w:rFonts w:hint="default"/>
              </w:rPr>
              <w:t>805.80</w:t>
            </w:r>
          </w:p>
        </w:tc>
        <w:tc>
          <w:tcPr>
            <w:tcW w:w="1068" w:type="dxa"/>
            <w:vAlign w:val="center"/>
          </w:tcPr>
          <w:p>
            <w:pPr>
              <w:pStyle w:val="20"/>
              <w:keepNext w:val="0"/>
              <w:keepLines w:val="0"/>
              <w:suppressLineNumbers w:val="0"/>
              <w:spacing w:before="0" w:beforeAutospacing="0" w:after="0" w:afterAutospacing="0"/>
              <w:ind w:left="0" w:right="0"/>
              <w:rPr>
                <w:rFonts w:hint="default"/>
              </w:rPr>
            </w:pPr>
            <w:r>
              <w:rPr>
                <w:rFonts w:hint="default"/>
              </w:rPr>
              <w:t>805.80</w:t>
            </w:r>
          </w:p>
        </w:tc>
        <w:tc>
          <w:tcPr>
            <w:tcW w:w="1204" w:type="dxa"/>
            <w:vAlign w:val="center"/>
          </w:tcPr>
          <w:p>
            <w:pPr>
              <w:pStyle w:val="20"/>
              <w:keepNext w:val="0"/>
              <w:keepLines w:val="0"/>
              <w:suppressLineNumbers w:val="0"/>
              <w:spacing w:before="0" w:beforeAutospacing="0" w:after="0" w:afterAutospacing="0"/>
              <w:ind w:left="0" w:right="0"/>
              <w:rPr>
                <w:rFonts w:hint="default"/>
              </w:rPr>
            </w:pPr>
          </w:p>
        </w:tc>
        <w:tc>
          <w:tcPr>
            <w:tcW w:w="1129" w:type="dxa"/>
            <w:vAlign w:val="center"/>
          </w:tcPr>
          <w:p>
            <w:pPr>
              <w:pStyle w:val="20"/>
              <w:keepNext w:val="0"/>
              <w:keepLines w:val="0"/>
              <w:suppressLineNumbers w:val="0"/>
              <w:spacing w:before="0" w:beforeAutospacing="0" w:after="0" w:afterAutospacing="0"/>
              <w:ind w:left="0" w:right="0"/>
              <w:rPr>
                <w:rFonts w:hint="default"/>
              </w:rPr>
            </w:pPr>
            <w:r>
              <w:rPr>
                <w:rFonts w:hint="default"/>
              </w:rPr>
              <w:t>805.80</w:t>
            </w:r>
          </w:p>
        </w:tc>
        <w:tc>
          <w:tcPr>
            <w:tcW w:w="959" w:type="dxa"/>
            <w:vAlign w:val="center"/>
          </w:tcPr>
          <w:p>
            <w:pPr>
              <w:pStyle w:val="20"/>
              <w:keepNext w:val="0"/>
              <w:keepLines w:val="0"/>
              <w:suppressLineNumbers w:val="0"/>
              <w:spacing w:before="0" w:beforeAutospacing="0" w:after="0" w:afterAutospacing="0"/>
              <w:ind w:left="0" w:right="0"/>
              <w:rPr>
                <w:rFonts w:hint="default"/>
              </w:rPr>
            </w:pPr>
          </w:p>
        </w:tc>
        <w:tc>
          <w:tcPr>
            <w:tcW w:w="696" w:type="dxa"/>
            <w:vAlign w:val="center"/>
          </w:tcPr>
          <w:p>
            <w:pPr>
              <w:pStyle w:val="20"/>
              <w:keepNext w:val="0"/>
              <w:keepLines w:val="0"/>
              <w:suppressLineNumbers w:val="0"/>
              <w:spacing w:before="0" w:beforeAutospacing="0" w:after="0" w:afterAutospacing="0"/>
              <w:ind w:left="0" w:right="0"/>
              <w:rPr>
                <w:rFonts w:hint="default"/>
              </w:rPr>
            </w:pPr>
          </w:p>
        </w:tc>
        <w:tc>
          <w:tcPr>
            <w:tcW w:w="603" w:type="dxa"/>
            <w:vAlign w:val="center"/>
          </w:tcPr>
          <w:p>
            <w:pPr>
              <w:pStyle w:val="20"/>
              <w:keepNext w:val="0"/>
              <w:keepLines w:val="0"/>
              <w:suppressLineNumbers w:val="0"/>
              <w:spacing w:before="0" w:beforeAutospacing="0" w:after="0" w:afterAutospacing="0"/>
              <w:ind w:left="0" w:right="0"/>
              <w:rPr>
                <w:rFonts w:hint="default"/>
              </w:rPr>
            </w:pPr>
          </w:p>
        </w:tc>
        <w:tc>
          <w:tcPr>
            <w:tcW w:w="725" w:type="dxa"/>
            <w:vAlign w:val="center"/>
          </w:tcPr>
          <w:p>
            <w:pPr>
              <w:pStyle w:val="20"/>
              <w:keepNext w:val="0"/>
              <w:keepLines w:val="0"/>
              <w:suppressLineNumbers w:val="0"/>
              <w:spacing w:before="0" w:beforeAutospacing="0" w:after="0" w:afterAutospacing="0"/>
              <w:ind w:left="0" w:right="0"/>
              <w:rPr>
                <w:rFonts w:hint="default"/>
              </w:rPr>
            </w:pPr>
          </w:p>
        </w:tc>
        <w:tc>
          <w:tcPr>
            <w:tcW w:w="886" w:type="dxa"/>
            <w:vAlign w:val="center"/>
          </w:tcPr>
          <w:p>
            <w:pPr>
              <w:pStyle w:val="20"/>
              <w:keepNext w:val="0"/>
              <w:keepLines w:val="0"/>
              <w:suppressLineNumbers w:val="0"/>
              <w:spacing w:before="0" w:beforeAutospacing="0" w:after="0" w:afterAutospacing="0"/>
              <w:ind w:left="0" w:right="0"/>
              <w:rPr>
                <w:rFonts w:hint="default"/>
              </w:rPr>
            </w:pPr>
          </w:p>
        </w:tc>
        <w:tc>
          <w:tcPr>
            <w:tcW w:w="1030" w:type="dxa"/>
            <w:vAlign w:val="center"/>
          </w:tcPr>
          <w:p>
            <w:pPr>
              <w:pStyle w:val="20"/>
              <w:keepNext w:val="0"/>
              <w:keepLines w:val="0"/>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59"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eastAsia="zh-CN"/>
              </w:rPr>
              <w:t>协管人员服务费</w:t>
            </w:r>
          </w:p>
        </w:tc>
        <w:tc>
          <w:tcPr>
            <w:tcW w:w="1197"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293.00</w:t>
            </w:r>
          </w:p>
        </w:tc>
        <w:tc>
          <w:tcPr>
            <w:tcW w:w="1083"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eastAsia="zh-CN"/>
              </w:rPr>
              <w:t>其他服务</w:t>
            </w:r>
          </w:p>
        </w:tc>
        <w:tc>
          <w:tcPr>
            <w:tcW w:w="875"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default"/>
              </w:rPr>
              <w:t>C</w:t>
            </w:r>
            <w:r>
              <w:rPr>
                <w:rFonts w:hint="eastAsia"/>
                <w:lang w:val="en-US" w:eastAsia="zh-CN"/>
              </w:rPr>
              <w:t>99</w:t>
            </w:r>
          </w:p>
        </w:tc>
        <w:tc>
          <w:tcPr>
            <w:tcW w:w="727" w:type="dxa"/>
            <w:vAlign w:val="center"/>
          </w:tcPr>
          <w:p>
            <w:pPr>
              <w:pStyle w:val="22"/>
              <w:keepNext w:val="0"/>
              <w:keepLines w:val="0"/>
              <w:suppressLineNumbers w:val="0"/>
              <w:spacing w:before="0" w:beforeAutospacing="0" w:after="0" w:afterAutospacing="0"/>
              <w:ind w:left="0" w:right="0" w:firstLine="0" w:firstLineChars="0"/>
              <w:rPr>
                <w:rFonts w:hint="default"/>
              </w:rPr>
            </w:pPr>
            <w:r>
              <w:rPr>
                <w:rFonts w:hint="eastAsia"/>
                <w:lang w:eastAsia="zh-CN"/>
              </w:rPr>
              <w:t>项</w:t>
            </w:r>
          </w:p>
        </w:tc>
        <w:tc>
          <w:tcPr>
            <w:tcW w:w="479"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1</w:t>
            </w:r>
          </w:p>
        </w:tc>
        <w:tc>
          <w:tcPr>
            <w:tcW w:w="897"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293.00</w:t>
            </w:r>
          </w:p>
        </w:tc>
        <w:tc>
          <w:tcPr>
            <w:tcW w:w="1068"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293.00</w:t>
            </w:r>
          </w:p>
        </w:tc>
        <w:tc>
          <w:tcPr>
            <w:tcW w:w="1204"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293.00</w:t>
            </w:r>
          </w:p>
        </w:tc>
        <w:tc>
          <w:tcPr>
            <w:tcW w:w="1129"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959"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696"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603"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725"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886"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1030"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eastAsia="zh-CN"/>
              </w:rPr>
              <w:t>公用经费申报</w:t>
            </w:r>
          </w:p>
        </w:tc>
        <w:tc>
          <w:tcPr>
            <w:tcW w:w="1197"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083"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val="en-US" w:eastAsia="zh-CN"/>
              </w:rPr>
              <w:t>其他办公用消耗品及类似物品</w:t>
            </w:r>
          </w:p>
        </w:tc>
        <w:tc>
          <w:tcPr>
            <w:tcW w:w="875"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val="en-US" w:eastAsia="zh-CN"/>
              </w:rPr>
              <w:t>A0999</w:t>
            </w:r>
          </w:p>
        </w:tc>
        <w:tc>
          <w:tcPr>
            <w:tcW w:w="727" w:type="dxa"/>
            <w:vAlign w:val="center"/>
          </w:tcPr>
          <w:p>
            <w:pPr>
              <w:pStyle w:val="22"/>
              <w:keepNext w:val="0"/>
              <w:keepLines w:val="0"/>
              <w:suppressLineNumbers w:val="0"/>
              <w:spacing w:before="0" w:beforeAutospacing="0" w:after="0" w:afterAutospacing="0"/>
              <w:ind w:left="0" w:right="0" w:firstLine="0" w:firstLineChars="0"/>
              <w:rPr>
                <w:rFonts w:hint="default"/>
              </w:rPr>
            </w:pPr>
            <w:r>
              <w:rPr>
                <w:rFonts w:hint="eastAsia"/>
                <w:lang w:eastAsia="zh-CN"/>
              </w:rPr>
              <w:t>批</w:t>
            </w:r>
          </w:p>
        </w:tc>
        <w:tc>
          <w:tcPr>
            <w:tcW w:w="479"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1</w:t>
            </w:r>
          </w:p>
        </w:tc>
        <w:tc>
          <w:tcPr>
            <w:tcW w:w="897"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068"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204"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129"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959"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696"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603"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725"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886"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1030"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eastAsia="zh-CN"/>
              </w:rPr>
              <w:t>公用经费申报</w:t>
            </w:r>
          </w:p>
        </w:tc>
        <w:tc>
          <w:tcPr>
            <w:tcW w:w="1197"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083"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val="en-US" w:eastAsia="zh-CN"/>
              </w:rPr>
              <w:t>其他印刷服务</w:t>
            </w:r>
          </w:p>
        </w:tc>
        <w:tc>
          <w:tcPr>
            <w:tcW w:w="875" w:type="dxa"/>
            <w:vAlign w:val="center"/>
          </w:tcPr>
          <w:p>
            <w:pPr>
              <w:pStyle w:val="21"/>
              <w:keepNext w:val="0"/>
              <w:keepLines w:val="0"/>
              <w:suppressLineNumbers w:val="0"/>
              <w:spacing w:before="0" w:beforeAutospacing="0" w:after="0" w:afterAutospacing="0"/>
              <w:ind w:left="0" w:right="0" w:firstLine="0" w:firstLineChars="0"/>
              <w:rPr>
                <w:rFonts w:hint="default"/>
              </w:rPr>
            </w:pPr>
            <w:r>
              <w:rPr>
                <w:rFonts w:hint="eastAsia"/>
                <w:lang w:val="en-US" w:eastAsia="zh-CN"/>
              </w:rPr>
              <w:t>C08140199</w:t>
            </w:r>
          </w:p>
        </w:tc>
        <w:tc>
          <w:tcPr>
            <w:tcW w:w="727" w:type="dxa"/>
            <w:vAlign w:val="center"/>
          </w:tcPr>
          <w:p>
            <w:pPr>
              <w:pStyle w:val="22"/>
              <w:keepNext w:val="0"/>
              <w:keepLines w:val="0"/>
              <w:suppressLineNumbers w:val="0"/>
              <w:spacing w:before="0" w:beforeAutospacing="0" w:after="0" w:afterAutospacing="0"/>
              <w:ind w:left="0" w:right="0" w:firstLine="0" w:firstLineChars="0"/>
              <w:rPr>
                <w:rFonts w:hint="default"/>
              </w:rPr>
            </w:pPr>
            <w:r>
              <w:rPr>
                <w:rFonts w:hint="eastAsia"/>
                <w:lang w:eastAsia="zh-CN"/>
              </w:rPr>
              <w:t>项</w:t>
            </w:r>
          </w:p>
        </w:tc>
        <w:tc>
          <w:tcPr>
            <w:tcW w:w="479"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1</w:t>
            </w:r>
          </w:p>
        </w:tc>
        <w:tc>
          <w:tcPr>
            <w:tcW w:w="897"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068"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204"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c>
          <w:tcPr>
            <w:tcW w:w="1129"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959"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696"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603"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725"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886" w:type="dxa"/>
            <w:vAlign w:val="center"/>
          </w:tcPr>
          <w:p>
            <w:pPr>
              <w:pStyle w:val="20"/>
              <w:keepNext w:val="0"/>
              <w:keepLines w:val="0"/>
              <w:suppressLineNumbers w:val="0"/>
              <w:spacing w:before="0" w:beforeAutospacing="0" w:after="0" w:afterAutospacing="0"/>
              <w:ind w:left="0" w:right="0" w:firstLine="0" w:firstLineChars="0"/>
              <w:rPr>
                <w:rFonts w:hint="default"/>
              </w:rPr>
            </w:pPr>
          </w:p>
        </w:tc>
        <w:tc>
          <w:tcPr>
            <w:tcW w:w="1030" w:type="dxa"/>
            <w:vAlign w:val="center"/>
          </w:tcPr>
          <w:p>
            <w:pPr>
              <w:pStyle w:val="20"/>
              <w:keepNext w:val="0"/>
              <w:keepLines w:val="0"/>
              <w:suppressLineNumbers w:val="0"/>
              <w:spacing w:before="0" w:beforeAutospacing="0" w:after="0" w:afterAutospacing="0"/>
              <w:ind w:left="0" w:right="0" w:firstLine="0" w:firstLineChars="0"/>
              <w:rPr>
                <w:rFonts w:hint="default"/>
              </w:rPr>
            </w:pPr>
            <w:r>
              <w:rPr>
                <w:rFonts w:hint="eastAsia"/>
                <w:lang w:val="en-US" w:eastAsia="zh-CN"/>
              </w:rPr>
              <w:t>80.00</w:t>
            </w:r>
          </w:p>
        </w:tc>
      </w:tr>
    </w:tbl>
    <w:p>
      <w:pPr>
        <w:spacing w:line="500" w:lineRule="exact"/>
        <w:ind w:firstLine="420"/>
        <w:rPr>
          <w:rFonts w:ascii="方正仿宋_GBK" w:hAnsi="方正仿宋_GBK" w:eastAsia="方正仿宋_GBK" w:cs="方正仿宋_GBK"/>
          <w:color w:val="000000"/>
        </w:rPr>
        <w:sectPr>
          <w:pgSz w:w="16838" w:h="11906" w:orient="landscape"/>
          <w:pgMar w:top="1800" w:right="1440" w:bottom="1800" w:left="1440" w:header="851" w:footer="992" w:gutter="0"/>
          <w:pgNumType w:fmt="numberInDash"/>
          <w:cols w:space="720" w:num="1"/>
          <w:titlePg/>
          <w:docGrid w:type="lines" w:linePitch="312" w:charSpace="0"/>
        </w:sect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北京大兴国际机场临空经济区（廊坊）管理委员会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309.89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本年度我部门拟购置固定资产</w:t>
      </w:r>
      <w:r>
        <w:rPr>
          <w:rFonts w:hint="eastAsia" w:ascii="Times New Roman" w:hAnsi="Times New Roman" w:eastAsia="仿宋_GB2312" w:cs="Times New Roman"/>
          <w:sz w:val="32"/>
          <w:szCs w:val="32"/>
          <w:highlight w:val="none"/>
        </w:rPr>
        <w:t>总额为</w:t>
      </w:r>
      <w:r>
        <w:rPr>
          <w:rFonts w:hint="eastAsia" w:ascii="Times New Roman" w:hAnsi="Times New Roman" w:eastAsia="仿宋_GB2312" w:cs="Times New Roman"/>
          <w:sz w:val="32"/>
          <w:szCs w:val="32"/>
          <w:highlight w:val="none"/>
          <w:lang w:val="en-US" w:eastAsia="zh-CN"/>
        </w:rPr>
        <w:t>10373.36</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主要为</w:t>
      </w:r>
      <w:r>
        <w:rPr>
          <w:rFonts w:hint="eastAsia" w:ascii="Times New Roman" w:hAnsi="Times New Roman" w:eastAsia="仿宋_GB2312" w:cs="Times New Roman"/>
          <w:sz w:val="32"/>
          <w:szCs w:val="32"/>
          <w:lang w:val="en-US" w:eastAsia="zh-CN"/>
        </w:rPr>
        <w:t>2022年开设4所</w:t>
      </w:r>
      <w:r>
        <w:rPr>
          <w:rFonts w:hint="eastAsia" w:ascii="Times New Roman" w:hAnsi="Times New Roman" w:eastAsia="仿宋_GB2312" w:cs="Times New Roman"/>
          <w:sz w:val="32"/>
          <w:szCs w:val="32"/>
          <w:lang w:eastAsia="zh-CN"/>
        </w:rPr>
        <w:t>学校、增加</w:t>
      </w:r>
      <w:r>
        <w:rPr>
          <w:rFonts w:hint="eastAsia" w:ascii="Times New Roman" w:hAnsi="Times New Roman" w:eastAsia="仿宋_GB2312" w:cs="Times New Roman"/>
          <w:sz w:val="32"/>
          <w:szCs w:val="32"/>
          <w:lang w:val="en-US" w:eastAsia="zh-CN"/>
        </w:rPr>
        <w:t>2个消防站。需购进</w:t>
      </w:r>
      <w:r>
        <w:rPr>
          <w:rFonts w:hint="eastAsia" w:ascii="Times New Roman" w:hAnsi="Times New Roman" w:eastAsia="仿宋_GB2312" w:cs="Times New Roman"/>
          <w:sz w:val="32"/>
          <w:szCs w:val="32"/>
          <w:lang w:eastAsia="zh-CN"/>
        </w:rPr>
        <w:t>桌椅板凳、教具及设备、消防车辆、消防设备及器材</w:t>
      </w:r>
      <w:r>
        <w:rPr>
          <w:rFonts w:ascii="Times New Roman" w:hAnsi="Times New Roman" w:eastAsia="仿宋_GB2312" w:cs="Times New Roman"/>
          <w:sz w:val="32"/>
          <w:szCs w:val="32"/>
        </w:rPr>
        <w:t>等，已列入政府采购预算。</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bCs/>
                <w:kern w:val="0"/>
                <w:sz w:val="32"/>
                <w:szCs w:val="32"/>
              </w:rPr>
            </w:pPr>
            <w:r>
              <w:rPr>
                <w:rFonts w:hint="eastAsia" w:asciiTheme="minorEastAsia" w:hAnsiTheme="minorEastAsia" w:eastAsiaTheme="minorEastAsia" w:cstheme="minorEastAsia"/>
                <w:b/>
                <w:bCs/>
                <w:sz w:val="32"/>
                <w:szCs w:val="32"/>
                <w:lang w:eastAsia="zh-CN"/>
              </w:rPr>
              <w:t>北京大兴国际机场临空经济区（廊坊）管理委员会</w:t>
            </w:r>
            <w:r>
              <w:rPr>
                <w:rFonts w:hint="eastAsia" w:asciiTheme="minorEastAsia" w:hAnsiTheme="minorEastAsia" w:eastAsiaTheme="minorEastAsia" w:cstheme="minorEastAsia"/>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0"/>
                <w:sz w:val="22"/>
                <w:lang w:eastAsia="zh-CN"/>
              </w:rPr>
            </w:pPr>
            <w:r>
              <w:rPr>
                <w:rFonts w:hint="eastAsia" w:ascii="宋体" w:hAnsi="宋体" w:eastAsia="宋体" w:cs="宋体"/>
                <w:kern w:val="0"/>
                <w:sz w:val="22"/>
              </w:rPr>
              <w:t>编制部门：</w:t>
            </w:r>
            <w:r>
              <w:rPr>
                <w:rFonts w:hint="eastAsia" w:ascii="方正小标宋_GBK" w:hAnsi="Times New Roman" w:eastAsia="方正小标宋_GBK" w:cs="Times New Roman"/>
                <w:sz w:val="18"/>
                <w:szCs w:val="18"/>
              </w:rPr>
              <w:t>101北京大兴国际机场临空经济区（廊坊）管理委员会</w:t>
            </w:r>
          </w:p>
        </w:tc>
        <w:tc>
          <w:tcPr>
            <w:tcW w:w="5103"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firstLine="1650" w:firstLineChars="750"/>
              <w:jc w:val="left"/>
              <w:rPr>
                <w:rFonts w:hint="default" w:ascii="Times New Roman" w:hAnsi="Times New Roman" w:eastAsia="仿宋_GB2312" w:cs="Times New Roman"/>
                <w:kern w:val="0"/>
                <w:sz w:val="22"/>
              </w:rPr>
            </w:pPr>
            <w:r>
              <w:rPr>
                <w:rFonts w:hint="eastAsia" w:ascii="宋体" w:hAnsi="宋体" w:eastAsia="宋体" w:cs="宋体"/>
                <w:kern w:val="0"/>
                <w:sz w:val="22"/>
              </w:rPr>
              <w:t>截止时间：202</w:t>
            </w:r>
            <w:r>
              <w:rPr>
                <w:rFonts w:hint="eastAsia" w:ascii="宋体" w:hAnsi="宋体" w:eastAsia="宋体" w:cs="宋体"/>
                <w:kern w:val="0"/>
                <w:sz w:val="22"/>
                <w:lang w:val="en-US" w:eastAsia="zh-CN"/>
              </w:rPr>
              <w:t>1</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309.89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26.13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584" w:lineRule="exact"/>
              <w:ind w:left="0" w:right="0"/>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584" w:lineRule="exact"/>
              <w:ind w:left="0" w:right="0"/>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283.76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2" w:firstLineChars="200"/>
        <w:rPr>
          <w:rFonts w:ascii="Times New Roman" w:hAnsi="Times New Roman" w:eastAsia="仿宋_GB2312" w:cs="Times New Roman"/>
          <w:b/>
          <w:bCs/>
          <w:sz w:val="32"/>
          <w:szCs w:val="32"/>
        </w:rPr>
      </w:pPr>
    </w:p>
    <w:sectPr>
      <w:pgSz w:w="16838" w:h="11906" w:orient="landscape"/>
      <w:pgMar w:top="1800" w:right="1440" w:bottom="1800" w:left="144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F0600"/>
    <w:multiLevelType w:val="singleLevel"/>
    <w:tmpl w:val="DFBF0600"/>
    <w:lvl w:ilvl="0" w:tentative="0">
      <w:start w:val="1"/>
      <w:numFmt w:val="decimal"/>
      <w:lvlText w:val="%1."/>
      <w:lvlJc w:val="left"/>
      <w:pPr>
        <w:tabs>
          <w:tab w:val="left" w:pos="312"/>
        </w:tabs>
      </w:pPr>
    </w:lvl>
  </w:abstractNum>
  <w:abstractNum w:abstractNumId="1">
    <w:nsid w:val="EF2F278F"/>
    <w:multiLevelType w:val="singleLevel"/>
    <w:tmpl w:val="EF2F278F"/>
    <w:lvl w:ilvl="0" w:tentative="0">
      <w:start w:val="1"/>
      <w:numFmt w:val="decimal"/>
      <w:lvlText w:val="%1."/>
      <w:lvlJc w:val="left"/>
      <w:pPr>
        <w:tabs>
          <w:tab w:val="left" w:pos="312"/>
        </w:tabs>
      </w:pPr>
    </w:lvl>
  </w:abstractNum>
  <w:abstractNum w:abstractNumId="2">
    <w:nsid w:val="FD764A02"/>
    <w:multiLevelType w:val="multilevel"/>
    <w:tmpl w:val="FD764A02"/>
    <w:lvl w:ilvl="0" w:tentative="0">
      <w:start w:val="1"/>
      <w:numFmt w:val="chineseCounting"/>
      <w:suff w:val="nothing"/>
      <w:lvlText w:val="%1、"/>
      <w:lvlJc w:val="center"/>
      <w:pPr>
        <w:tabs>
          <w:tab w:val="left" w:pos="0"/>
        </w:tabs>
        <w:ind w:left="0" w:firstLine="0"/>
      </w:pPr>
      <w:rPr>
        <w:rFonts w:hint="eastAsia" w:ascii="宋体" w:hAnsi="宋体" w:eastAsia="宋体" w:cs="宋体"/>
      </w:rPr>
    </w:lvl>
    <w:lvl w:ilvl="1" w:tentative="0">
      <w:start w:val="1"/>
      <w:numFmt w:val="chineseCounting"/>
      <w:pStyle w:val="16"/>
      <w:suff w:val="nothing"/>
      <w:lvlText w:val="（%2）"/>
      <w:lvlJc w:val="left"/>
      <w:pPr>
        <w:ind w:left="0" w:firstLine="0"/>
      </w:pPr>
      <w:rPr>
        <w:rFonts w:hint="eastAsia" w:ascii="宋体" w:hAnsi="宋体" w:eastAsia="宋体" w:cs="宋体"/>
      </w:rPr>
    </w:lvl>
    <w:lvl w:ilvl="2" w:tentative="0">
      <w:start w:val="1"/>
      <w:numFmt w:val="decimal"/>
      <w:pStyle w:val="14"/>
      <w:suff w:val="nothing"/>
      <w:lvlText w:val="%3．"/>
      <w:lvlJc w:val="left"/>
      <w:pPr>
        <w:ind w:left="0" w:firstLine="400"/>
      </w:pPr>
      <w:rPr>
        <w:rFonts w:hint="eastAsia" w:ascii="宋体" w:hAnsi="宋体" w:eastAsia="宋体" w:cs="宋体"/>
      </w:rPr>
    </w:lvl>
    <w:lvl w:ilvl="3" w:tentative="0">
      <w:start w:val="1"/>
      <w:numFmt w:val="decimal"/>
      <w:pStyle w:val="17"/>
      <w:suff w:val="nothing"/>
      <w:lvlText w:val="（%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ascii="宋体" w:hAnsi="宋体" w:eastAsia="宋体" w:cs="宋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E6"/>
    <w:rsid w:val="0025632D"/>
    <w:rsid w:val="004A54AA"/>
    <w:rsid w:val="00944233"/>
    <w:rsid w:val="00B40732"/>
    <w:rsid w:val="00B80935"/>
    <w:rsid w:val="00D347CC"/>
    <w:rsid w:val="1DBF7A12"/>
    <w:rsid w:val="2D6FE6C3"/>
    <w:rsid w:val="36F41F37"/>
    <w:rsid w:val="3BEF0C1C"/>
    <w:rsid w:val="4FF7CE36"/>
    <w:rsid w:val="55EBB5F6"/>
    <w:rsid w:val="565D38DD"/>
    <w:rsid w:val="57FF5A2D"/>
    <w:rsid w:val="5BFF3B20"/>
    <w:rsid w:val="5ECF29A3"/>
    <w:rsid w:val="5EFA4FBB"/>
    <w:rsid w:val="5FDF94EC"/>
    <w:rsid w:val="5FEBE103"/>
    <w:rsid w:val="5FF3D5DE"/>
    <w:rsid w:val="5FFFD020"/>
    <w:rsid w:val="69F9C408"/>
    <w:rsid w:val="6DDB04D9"/>
    <w:rsid w:val="6EEBEFD2"/>
    <w:rsid w:val="6EF63B48"/>
    <w:rsid w:val="73FC1368"/>
    <w:rsid w:val="76FFDAF9"/>
    <w:rsid w:val="77ADC120"/>
    <w:rsid w:val="7990E75D"/>
    <w:rsid w:val="79FD574C"/>
    <w:rsid w:val="7B7F46AF"/>
    <w:rsid w:val="7CFB7B6C"/>
    <w:rsid w:val="7E3F7E7B"/>
    <w:rsid w:val="7EF39B19"/>
    <w:rsid w:val="7F531C28"/>
    <w:rsid w:val="7F7CE5E8"/>
    <w:rsid w:val="7FB335C3"/>
    <w:rsid w:val="7FDF196E"/>
    <w:rsid w:val="A74F1214"/>
    <w:rsid w:val="AACF96A3"/>
    <w:rsid w:val="ADE71E87"/>
    <w:rsid w:val="AF75D42C"/>
    <w:rsid w:val="AFE7FD05"/>
    <w:rsid w:val="B54DA3C4"/>
    <w:rsid w:val="B7B78F5F"/>
    <w:rsid w:val="B7EA9E18"/>
    <w:rsid w:val="BBFB5989"/>
    <w:rsid w:val="BDDBA420"/>
    <w:rsid w:val="BFD575BF"/>
    <w:rsid w:val="BFEE4A97"/>
    <w:rsid w:val="D6D59794"/>
    <w:rsid w:val="DAEB0137"/>
    <w:rsid w:val="DD7FB26E"/>
    <w:rsid w:val="DE2F0745"/>
    <w:rsid w:val="DFD728FC"/>
    <w:rsid w:val="EDDD90C9"/>
    <w:rsid w:val="EEBF772A"/>
    <w:rsid w:val="EF7FE34B"/>
    <w:rsid w:val="F2BCCAE6"/>
    <w:rsid w:val="F6EEE728"/>
    <w:rsid w:val="F9BF812B"/>
    <w:rsid w:val="FD45440C"/>
    <w:rsid w:val="FD55906A"/>
    <w:rsid w:val="FEF0B703"/>
    <w:rsid w:val="FF3F04E1"/>
    <w:rsid w:val="FF673108"/>
    <w:rsid w:val="FFCB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semiHidden/>
    <w:unhideWhenUsed/>
    <w:qFormat/>
    <w:uiPriority w:val="99"/>
    <w:rPr>
      <w:sz w:val="24"/>
    </w:rPr>
  </w:style>
  <w:style w:type="character" w:styleId="11">
    <w:name w:val="footnote reference"/>
    <w:qFormat/>
    <w:uiPriority w:val="0"/>
    <w:rPr>
      <w:vertAlign w:val="superscript"/>
    </w:rPr>
  </w:style>
  <w:style w:type="paragraph" w:customStyle="1" w:styleId="12">
    <w:name w:val="1大标题"/>
    <w:basedOn w:val="1"/>
    <w:qFormat/>
    <w:uiPriority w:val="0"/>
    <w:pPr>
      <w:spacing w:line="560" w:lineRule="exact"/>
      <w:ind w:firstLine="0" w:firstLineChars="0"/>
      <w:jc w:val="center"/>
    </w:pPr>
    <w:rPr>
      <w:rFonts w:ascii="Times New Roman" w:hAnsi="Times New Roman" w:eastAsia="方正小标宋简体"/>
      <w:sz w:val="44"/>
    </w:rPr>
  </w:style>
  <w:style w:type="paragraph" w:customStyle="1" w:styleId="13">
    <w:name w:val="1公文正文"/>
    <w:basedOn w:val="1"/>
    <w:qFormat/>
    <w:uiPriority w:val="0"/>
    <w:pPr>
      <w:snapToGrid w:val="0"/>
      <w:spacing w:line="560" w:lineRule="exact"/>
      <w:ind w:firstLine="880" w:firstLineChars="200"/>
    </w:pPr>
    <w:rPr>
      <w:rFonts w:ascii="Times New Roman" w:hAnsi="Times New Roman" w:eastAsia="CESI仿宋-GB2312"/>
      <w:sz w:val="32"/>
    </w:rPr>
  </w:style>
  <w:style w:type="paragraph" w:customStyle="1" w:styleId="14">
    <w:name w:val="3.三级标题"/>
    <w:basedOn w:val="1"/>
    <w:qFormat/>
    <w:uiPriority w:val="0"/>
    <w:pPr>
      <w:numPr>
        <w:ilvl w:val="2"/>
        <w:numId w:val="1"/>
      </w:numPr>
      <w:snapToGrid w:val="0"/>
      <w:spacing w:line="560" w:lineRule="exact"/>
      <w:ind w:firstLine="880" w:firstLineChars="200"/>
    </w:pPr>
    <w:rPr>
      <w:rFonts w:ascii="Times New Roman" w:hAnsi="Times New Roman" w:eastAsia="CESI仿宋-GB2312"/>
      <w:sz w:val="32"/>
    </w:rPr>
  </w:style>
  <w:style w:type="paragraph" w:customStyle="1" w:styleId="15">
    <w:name w:val="1一、一级标题"/>
    <w:basedOn w:val="1"/>
    <w:qFormat/>
    <w:uiPriority w:val="0"/>
    <w:pPr>
      <w:spacing w:line="560" w:lineRule="exact"/>
      <w:ind w:firstLine="420" w:firstLineChars="200"/>
    </w:pPr>
    <w:rPr>
      <w:rFonts w:eastAsia="黑体" w:asciiTheme="minorAscii" w:hAnsiTheme="minorAscii"/>
      <w:sz w:val="32"/>
    </w:rPr>
  </w:style>
  <w:style w:type="paragraph" w:customStyle="1" w:styleId="16">
    <w:name w:val="1（二）二级标题"/>
    <w:basedOn w:val="1"/>
    <w:qFormat/>
    <w:uiPriority w:val="0"/>
    <w:pPr>
      <w:numPr>
        <w:ilvl w:val="1"/>
        <w:numId w:val="1"/>
      </w:numPr>
      <w:ind w:firstLine="0" w:firstLineChars="0"/>
    </w:pPr>
    <w:rPr>
      <w:rFonts w:ascii="Times New Roman" w:hAnsi="Times New Roman" w:eastAsia="CESI楷体-GB2312"/>
      <w:b/>
      <w:sz w:val="32"/>
    </w:rPr>
  </w:style>
  <w:style w:type="paragraph" w:customStyle="1" w:styleId="17">
    <w:name w:val="1（4）四级标题"/>
    <w:basedOn w:val="1"/>
    <w:qFormat/>
    <w:uiPriority w:val="0"/>
    <w:pPr>
      <w:numPr>
        <w:ilvl w:val="3"/>
        <w:numId w:val="1"/>
      </w:numPr>
      <w:snapToGrid w:val="0"/>
      <w:spacing w:line="560" w:lineRule="exact"/>
      <w:ind w:left="0" w:firstLine="880" w:firstLineChars="200"/>
    </w:pPr>
    <w:rPr>
      <w:rFonts w:ascii="Times New Roman" w:hAnsi="Times New Roman" w:eastAsia="CESI楷体-GB2312"/>
      <w:b/>
      <w:sz w:val="32"/>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1">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3">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单元格样式1_84e44ccd-c1f2-497d-94ce-0671da18cb27"/>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3_87263c96-06ed-4633-891c-caed4f5ba62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_8c36eda4-4ccf-4391-ab7e-046ecab1bb66"/>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Normal_0db26e6a-911c-4b0f-829b-5ec9fac34b1d"/>
    <w:qFormat/>
    <w:uiPriority w:val="0"/>
    <w:rPr>
      <w:rFonts w:ascii="Times New Roman" w:hAnsi="Times New Roman" w:eastAsia="Times New Roman" w:cstheme="minorBidi"/>
      <w:sz w:val="24"/>
      <w:szCs w:val="24"/>
      <w:lang w:val="en-US" w:eastAsia="uk-U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152</Pages>
  <Words>61362</Words>
  <Characters>65997</Characters>
  <Lines>1</Lines>
  <Paragraphs>1</Paragraphs>
  <TotalTime>64</TotalTime>
  <ScaleCrop>false</ScaleCrop>
  <LinksUpToDate>false</LinksUpToDate>
  <CharactersWithSpaces>66243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2020-01-19T11:27:00Z</dcterms:created>
  <dc:creator>guest</dc:creator>
  <cp:lastModifiedBy>user</cp:lastModifiedBy>
  <cp:lastPrinted>2018-02-05T14:12:00Z</cp:lastPrinted>
  <dcterms:modified xsi:type="dcterms:W3CDTF">2022-02-28T17:47:27Z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