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北京大兴国际机场临空经济区（廊坊）管理委员会</w:t>
      </w:r>
    </w:p>
    <w:p>
      <w:pPr>
        <w:spacing w:line="560" w:lineRule="exact"/>
        <w:jc w:val="center"/>
        <w:outlineLvl w:val="0"/>
      </w:pPr>
      <w:r>
        <w:rPr>
          <w:rFonts w:ascii="方正小标宋_GBK" w:hAnsi="方正小标宋_GBK" w:eastAsia="方正小标宋_GBK" w:cs="方正小标宋_GBK"/>
          <w:color w:val="000000"/>
          <w:sz w:val="44"/>
        </w:rPr>
        <w:t>2023年部门预算信息公开情况说明</w:t>
      </w:r>
    </w:p>
    <w:p>
      <w:pPr>
        <w:spacing w:line="560" w:lineRule="exact"/>
        <w:ind w:firstLine="640" w:firstLineChars="200"/>
        <w:rPr>
          <w:sz w:val="32"/>
          <w:szCs w:val="32"/>
        </w:rPr>
      </w:pPr>
      <w:r>
        <w:rPr>
          <w:rFonts w:eastAsia="方正仿宋_GBK" w:cs="Times New Roman"/>
          <w:color w:val="000000"/>
          <w:sz w:val="32"/>
          <w:szCs w:val="32"/>
        </w:rPr>
        <w:t>按照</w:t>
      </w:r>
      <w:r>
        <w:rPr>
          <w:rFonts w:hint="eastAsia" w:eastAsia="方正仿宋_GBK" w:cs="Times New Roman"/>
          <w:color w:val="000000"/>
          <w:sz w:val="32"/>
          <w:szCs w:val="32"/>
          <w:lang w:eastAsia="zh-CN"/>
        </w:rPr>
        <w:t>《中华人民共和国预算法》</w:t>
      </w:r>
      <w:r>
        <w:rPr>
          <w:rFonts w:eastAsia="方正仿宋_GBK" w:cs="Times New Roman"/>
          <w:color w:val="000000"/>
          <w:sz w:val="32"/>
          <w:szCs w:val="32"/>
        </w:rPr>
        <w:t>、《地方预决算公开操作规程》和《关于进一步推进预算公开工作的实施意见》规定，现将北京大兴国际机场临空经济区（廊坊）管理委员会2023年部门预算公开如下：</w:t>
      </w:r>
    </w:p>
    <w:p>
      <w:pPr>
        <w:spacing w:line="560" w:lineRule="exact"/>
        <w:ind w:firstLine="640" w:firstLineChars="200"/>
        <w:outlineLvl w:val="2"/>
        <w:rPr>
          <w:sz w:val="32"/>
          <w:szCs w:val="32"/>
        </w:rPr>
      </w:pPr>
      <w:bookmarkStart w:id="0" w:name="_Toc9480"/>
      <w:r>
        <w:rPr>
          <w:rFonts w:ascii="黑体" w:hAnsi="黑体" w:eastAsia="黑体" w:cs="黑体"/>
          <w:color w:val="000000"/>
          <w:sz w:val="32"/>
          <w:szCs w:val="32"/>
        </w:rPr>
        <w:t>一、部门职责及机构设置情况</w:t>
      </w:r>
      <w:bookmarkEnd w:id="0"/>
    </w:p>
    <w:p>
      <w:pPr>
        <w:spacing w:line="560" w:lineRule="exact"/>
        <w:ind w:firstLine="641" w:firstLineChars="200"/>
        <w:rPr>
          <w:sz w:val="32"/>
          <w:szCs w:val="32"/>
        </w:rPr>
      </w:pPr>
      <w:r>
        <w:rPr>
          <w:rFonts w:ascii="方正楷体_GBK" w:hAnsi="方正楷体_GBK" w:eastAsia="方正楷体_GBK" w:cs="方正楷体_GBK"/>
          <w:b/>
          <w:color w:val="000000"/>
          <w:sz w:val="32"/>
          <w:szCs w:val="32"/>
        </w:rPr>
        <w:t>部门职责：</w:t>
      </w:r>
    </w:p>
    <w:p>
      <w:pPr>
        <w:pStyle w:val="21"/>
        <w:spacing w:line="560" w:lineRule="exact"/>
        <w:ind w:firstLine="640" w:firstLineChars="200"/>
        <w:rPr>
          <w:sz w:val="32"/>
          <w:szCs w:val="32"/>
        </w:rPr>
      </w:pPr>
      <w:r>
        <w:rPr>
          <w:sz w:val="32"/>
          <w:szCs w:val="32"/>
        </w:rPr>
        <w:t>（一）根据临空经济区功能定位，负责编制区域内总体规划、控制性详细规划和其他领域专项规划，按程序报批后组织实施。</w:t>
      </w:r>
    </w:p>
    <w:p>
      <w:pPr>
        <w:pStyle w:val="21"/>
        <w:spacing w:line="560" w:lineRule="exact"/>
        <w:ind w:firstLine="640" w:firstLineChars="200"/>
        <w:rPr>
          <w:sz w:val="32"/>
          <w:szCs w:val="32"/>
        </w:rPr>
      </w:pPr>
      <w:r>
        <w:rPr>
          <w:sz w:val="32"/>
          <w:szCs w:val="32"/>
        </w:rPr>
        <w:t>（二）负责临空经济区支持政策体系的落实；审批或审核区域内投资项目；统筹管理区域内建设工作。</w:t>
      </w:r>
    </w:p>
    <w:p>
      <w:pPr>
        <w:pStyle w:val="21"/>
        <w:spacing w:line="560" w:lineRule="exact"/>
        <w:ind w:firstLine="640" w:firstLineChars="200"/>
        <w:rPr>
          <w:sz w:val="32"/>
          <w:szCs w:val="32"/>
        </w:rPr>
      </w:pPr>
      <w:r>
        <w:rPr>
          <w:sz w:val="32"/>
          <w:szCs w:val="32"/>
        </w:rPr>
        <w:t>（三）负责辖区财政管理，实施财政预算、决算、国有资产管理、财政监督和内部审计工作。</w:t>
      </w:r>
    </w:p>
    <w:p>
      <w:pPr>
        <w:pStyle w:val="21"/>
        <w:spacing w:line="560" w:lineRule="exact"/>
        <w:ind w:firstLine="640" w:firstLineChars="200"/>
        <w:rPr>
          <w:sz w:val="32"/>
          <w:szCs w:val="32"/>
        </w:rPr>
      </w:pPr>
      <w:r>
        <w:rPr>
          <w:sz w:val="32"/>
          <w:szCs w:val="32"/>
        </w:rPr>
        <w:t>（四）负责招商引资、进出口贸易和国内外经济技术合作工作；负责涉外事务。</w:t>
      </w:r>
    </w:p>
    <w:p>
      <w:pPr>
        <w:pStyle w:val="21"/>
        <w:spacing w:line="560" w:lineRule="exact"/>
        <w:ind w:firstLine="640" w:firstLineChars="200"/>
        <w:rPr>
          <w:sz w:val="32"/>
          <w:szCs w:val="32"/>
        </w:rPr>
      </w:pPr>
      <w:r>
        <w:rPr>
          <w:sz w:val="32"/>
          <w:szCs w:val="32"/>
        </w:rPr>
        <w:t>（五）负责人力资源社会保障、应急管理和安全生产、自然资源规划、住房城乡建设、生态环境、市场监督管理工作。</w:t>
      </w:r>
    </w:p>
    <w:p>
      <w:pPr>
        <w:pStyle w:val="21"/>
        <w:spacing w:line="560" w:lineRule="exact"/>
        <w:ind w:firstLine="640" w:firstLineChars="200"/>
        <w:rPr>
          <w:sz w:val="32"/>
          <w:szCs w:val="32"/>
        </w:rPr>
      </w:pPr>
      <w:r>
        <w:rPr>
          <w:sz w:val="32"/>
          <w:szCs w:val="32"/>
        </w:rPr>
        <w:t>（六）负责与大兴临空经济区（自贸试验区大兴机场片区＜北京大兴＞）管理机构的对接、沟通、协调工作；与机场集团、各航空公司进行工作对接，协调推进临空经济区相关工作；对项目完成情况进行督查和考核；负责临空经济区（廊坊）区域内的安全保障工作。</w:t>
      </w:r>
    </w:p>
    <w:p>
      <w:pPr>
        <w:pStyle w:val="21"/>
        <w:spacing w:line="560" w:lineRule="exact"/>
        <w:ind w:firstLine="640" w:firstLineChars="200"/>
        <w:rPr>
          <w:sz w:val="32"/>
          <w:szCs w:val="32"/>
        </w:rPr>
      </w:pPr>
      <w:r>
        <w:rPr>
          <w:sz w:val="32"/>
          <w:szCs w:val="32"/>
        </w:rPr>
        <w:t>（七）负责与临空经济区外围总体管控区规划建设及管控的协调。</w:t>
      </w:r>
    </w:p>
    <w:p>
      <w:pPr>
        <w:pStyle w:val="21"/>
        <w:spacing w:line="560" w:lineRule="exact"/>
        <w:ind w:firstLine="640" w:firstLineChars="200"/>
        <w:rPr>
          <w:sz w:val="32"/>
          <w:szCs w:val="32"/>
        </w:rPr>
      </w:pPr>
      <w:r>
        <w:rPr>
          <w:sz w:val="32"/>
          <w:szCs w:val="32"/>
        </w:rPr>
        <w:t>（八）根据自贸试验区功能定位，负责开展制度创新、对外贸易、开放合作等相关工作。</w:t>
      </w:r>
    </w:p>
    <w:p>
      <w:pPr>
        <w:pStyle w:val="21"/>
        <w:spacing w:line="560" w:lineRule="exact"/>
        <w:ind w:firstLine="640" w:firstLineChars="200"/>
        <w:rPr>
          <w:sz w:val="32"/>
          <w:szCs w:val="32"/>
        </w:rPr>
      </w:pPr>
      <w:r>
        <w:rPr>
          <w:sz w:val="32"/>
          <w:szCs w:val="32"/>
        </w:rPr>
        <w:t>（九）完成临空经济区京冀联合工作领导小组和廊坊市政府、省北京新机场办公室及中国（河北）自由贸易试验区工作办公室交办的其他工作。</w:t>
      </w:r>
    </w:p>
    <w:p>
      <w:pPr>
        <w:spacing w:line="560" w:lineRule="exact"/>
        <w:ind w:firstLine="641" w:firstLineChars="200"/>
        <w:rPr>
          <w:sz w:val="32"/>
          <w:szCs w:val="32"/>
        </w:rPr>
      </w:pPr>
      <w:r>
        <w:rPr>
          <w:rFonts w:ascii="方正楷体_GBK" w:hAnsi="方正楷体_GBK" w:eastAsia="方正楷体_GBK" w:cs="方正楷体_GBK"/>
          <w:b/>
          <w:color w:val="000000"/>
          <w:sz w:val="32"/>
          <w:szCs w:val="32"/>
        </w:rPr>
        <w:t>机构设置：</w:t>
      </w:r>
    </w:p>
    <w:p>
      <w:pPr>
        <w:spacing w:line="560" w:lineRule="exact"/>
        <w:ind w:firstLine="640" w:firstLineChars="200"/>
        <w:jc w:val="center"/>
        <w:rPr>
          <w:sz w:val="32"/>
          <w:szCs w:val="32"/>
        </w:rPr>
      </w:pPr>
      <w:r>
        <w:rPr>
          <w:rFonts w:ascii="方正小标宋_GBK" w:hAnsi="方正小标宋_GBK" w:eastAsia="方正小标宋_GBK" w:cs="方正小标宋_GBK"/>
          <w:color w:val="000000"/>
          <w:sz w:val="32"/>
          <w:szCs w:val="32"/>
        </w:rPr>
        <w:t>部门机构设置情况</w:t>
      </w:r>
    </w:p>
    <w:tbl>
      <w:tblPr>
        <w:tblStyle w:val="8"/>
        <w:tblW w:w="13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1"/>
        <w:gridCol w:w="2202"/>
        <w:gridCol w:w="2464"/>
        <w:gridCol w:w="2464"/>
      </w:tblGrid>
      <w:tr>
        <w:trPr>
          <w:trHeight w:val="567" w:hRule="atLeast"/>
          <w:tblHeader/>
          <w:jc w:val="center"/>
        </w:trPr>
        <w:tc>
          <w:tcPr>
            <w:tcW w:w="6791" w:type="dxa"/>
            <w:vAlign w:val="center"/>
          </w:tcPr>
          <w:p>
            <w:pPr>
              <w:pStyle w:val="14"/>
              <w:spacing w:line="560" w:lineRule="exact"/>
              <w:rPr>
                <w:sz w:val="28"/>
                <w:szCs w:val="32"/>
              </w:rPr>
            </w:pPr>
            <w:r>
              <w:rPr>
                <w:sz w:val="28"/>
                <w:szCs w:val="32"/>
              </w:rPr>
              <w:t>单位名称</w:t>
            </w:r>
          </w:p>
        </w:tc>
        <w:tc>
          <w:tcPr>
            <w:tcW w:w="2202" w:type="dxa"/>
            <w:vAlign w:val="center"/>
          </w:tcPr>
          <w:p>
            <w:pPr>
              <w:pStyle w:val="14"/>
              <w:spacing w:line="560" w:lineRule="exact"/>
              <w:rPr>
                <w:sz w:val="28"/>
                <w:szCs w:val="32"/>
              </w:rPr>
            </w:pPr>
            <w:r>
              <w:rPr>
                <w:sz w:val="28"/>
                <w:szCs w:val="32"/>
              </w:rPr>
              <w:t>单位性质</w:t>
            </w:r>
          </w:p>
        </w:tc>
        <w:tc>
          <w:tcPr>
            <w:tcW w:w="2464" w:type="dxa"/>
            <w:vAlign w:val="center"/>
          </w:tcPr>
          <w:p>
            <w:pPr>
              <w:pStyle w:val="14"/>
              <w:spacing w:line="560" w:lineRule="exact"/>
              <w:rPr>
                <w:sz w:val="28"/>
                <w:szCs w:val="32"/>
              </w:rPr>
            </w:pPr>
            <w:r>
              <w:rPr>
                <w:sz w:val="28"/>
                <w:szCs w:val="32"/>
              </w:rPr>
              <w:t>单位规格</w:t>
            </w:r>
          </w:p>
        </w:tc>
        <w:tc>
          <w:tcPr>
            <w:tcW w:w="2464" w:type="dxa"/>
            <w:vAlign w:val="center"/>
          </w:tcPr>
          <w:p>
            <w:pPr>
              <w:pStyle w:val="14"/>
              <w:spacing w:line="560" w:lineRule="exact"/>
              <w:rPr>
                <w:sz w:val="28"/>
                <w:szCs w:val="32"/>
              </w:rPr>
            </w:pPr>
            <w:r>
              <w:rPr>
                <w:sz w:val="28"/>
                <w:szCs w:val="32"/>
              </w:rPr>
              <w:t>经费保障形式</w:t>
            </w:r>
          </w:p>
        </w:tc>
      </w:tr>
      <w:tr>
        <w:trPr>
          <w:trHeight w:val="858" w:hRule="atLeast"/>
          <w:jc w:val="center"/>
        </w:trPr>
        <w:tc>
          <w:tcPr>
            <w:tcW w:w="6791" w:type="dxa"/>
            <w:vAlign w:val="center"/>
          </w:tcPr>
          <w:p>
            <w:pPr>
              <w:pStyle w:val="16"/>
              <w:spacing w:line="560" w:lineRule="exact"/>
              <w:jc w:val="center"/>
              <w:rPr>
                <w:sz w:val="24"/>
                <w:szCs w:val="32"/>
              </w:rPr>
            </w:pPr>
            <w:r>
              <w:rPr>
                <w:sz w:val="24"/>
                <w:szCs w:val="32"/>
              </w:rPr>
              <w:t>北京大兴国际机场临空经济区（廊坊）管理委员会（本级）</w:t>
            </w:r>
          </w:p>
        </w:tc>
        <w:tc>
          <w:tcPr>
            <w:tcW w:w="2202" w:type="dxa"/>
            <w:vAlign w:val="center"/>
          </w:tcPr>
          <w:p>
            <w:pPr>
              <w:pStyle w:val="17"/>
              <w:spacing w:line="560" w:lineRule="exact"/>
              <w:rPr>
                <w:sz w:val="24"/>
                <w:szCs w:val="32"/>
              </w:rPr>
            </w:pPr>
            <w:r>
              <w:rPr>
                <w:sz w:val="24"/>
                <w:szCs w:val="32"/>
              </w:rPr>
              <w:t>行政</w:t>
            </w:r>
          </w:p>
        </w:tc>
        <w:tc>
          <w:tcPr>
            <w:tcW w:w="2464" w:type="dxa"/>
            <w:vAlign w:val="center"/>
          </w:tcPr>
          <w:p>
            <w:pPr>
              <w:pStyle w:val="17"/>
              <w:spacing w:line="560" w:lineRule="exact"/>
              <w:rPr>
                <w:sz w:val="24"/>
                <w:szCs w:val="32"/>
              </w:rPr>
            </w:pPr>
            <w:r>
              <w:rPr>
                <w:sz w:val="24"/>
                <w:szCs w:val="32"/>
              </w:rPr>
              <w:t>正处（县）级</w:t>
            </w:r>
          </w:p>
        </w:tc>
        <w:tc>
          <w:tcPr>
            <w:tcW w:w="2464" w:type="dxa"/>
            <w:vAlign w:val="center"/>
          </w:tcPr>
          <w:p>
            <w:pPr>
              <w:pStyle w:val="17"/>
              <w:spacing w:line="560" w:lineRule="exact"/>
              <w:rPr>
                <w:sz w:val="24"/>
                <w:szCs w:val="32"/>
              </w:rPr>
            </w:pPr>
            <w:r>
              <w:rPr>
                <w:sz w:val="24"/>
                <w:szCs w:val="32"/>
              </w:rPr>
              <w:t>财政拨款</w:t>
            </w:r>
          </w:p>
        </w:tc>
      </w:tr>
    </w:tbl>
    <w:p>
      <w:pPr>
        <w:spacing w:line="560" w:lineRule="exact"/>
        <w:ind w:firstLine="640" w:firstLineChars="200"/>
        <w:outlineLvl w:val="2"/>
        <w:rPr>
          <w:sz w:val="32"/>
          <w:szCs w:val="32"/>
        </w:rPr>
      </w:pPr>
      <w:bookmarkStart w:id="1" w:name="_Toc24198"/>
      <w:r>
        <w:rPr>
          <w:rFonts w:ascii="黑体" w:hAnsi="黑体" w:eastAsia="黑体" w:cs="黑体"/>
          <w:color w:val="000000"/>
          <w:sz w:val="32"/>
          <w:szCs w:val="32"/>
        </w:rPr>
        <w:t>二、部门预算安排的总体情况</w:t>
      </w:r>
      <w:bookmarkEnd w:id="1"/>
    </w:p>
    <w:p>
      <w:pPr>
        <w:spacing w:line="560" w:lineRule="exact"/>
        <w:ind w:firstLine="640" w:firstLineChars="200"/>
        <w:rPr>
          <w:rFonts w:eastAsia="仿宋_GB2312"/>
          <w:sz w:val="32"/>
          <w:szCs w:val="32"/>
        </w:rPr>
      </w:pPr>
      <w:r>
        <w:rPr>
          <w:rFonts w:hint="eastAsia" w:eastAsia="仿宋_GB2312"/>
          <w:sz w:val="32"/>
          <w:szCs w:val="32"/>
        </w:rPr>
        <w:t>按照预算管理有关规定，目前我区部门预算的编制实行综合预算制度，即全部收入和支出都反映在预算中。北京大兴国际机场临空经济区（廊坊）管理委员会机关及所属事业单位的收支包含在部门预算中。</w:t>
      </w:r>
    </w:p>
    <w:p>
      <w:pPr>
        <w:spacing w:line="560" w:lineRule="exact"/>
        <w:ind w:firstLine="643" w:firstLineChars="200"/>
        <w:rPr>
          <w:rFonts w:eastAsia="仿宋_GB2312"/>
          <w:b/>
          <w:sz w:val="32"/>
          <w:szCs w:val="32"/>
        </w:rPr>
      </w:pPr>
      <w:r>
        <w:rPr>
          <w:rFonts w:eastAsia="仿宋_GB2312"/>
          <w:b/>
          <w:sz w:val="32"/>
          <w:szCs w:val="32"/>
        </w:rPr>
        <w:t>1、收入说明</w:t>
      </w:r>
    </w:p>
    <w:p>
      <w:pPr>
        <w:spacing w:line="560" w:lineRule="exact"/>
        <w:ind w:firstLine="640" w:firstLineChars="200"/>
        <w:rPr>
          <w:rFonts w:eastAsia="仿宋_GB2312"/>
          <w:sz w:val="32"/>
          <w:szCs w:val="32"/>
        </w:rPr>
      </w:pPr>
      <w:r>
        <w:rPr>
          <w:rFonts w:eastAsia="仿宋_GB2312"/>
          <w:sz w:val="32"/>
          <w:szCs w:val="32"/>
        </w:rPr>
        <w:t>反映本部门当年全部收入。20</w:t>
      </w:r>
      <w:r>
        <w:rPr>
          <w:rFonts w:hint="eastAsia" w:eastAsia="仿宋_GB2312"/>
          <w:sz w:val="32"/>
          <w:szCs w:val="32"/>
        </w:rPr>
        <w:t>23</w:t>
      </w:r>
      <w:r>
        <w:rPr>
          <w:rFonts w:eastAsia="仿宋_GB2312"/>
          <w:sz w:val="32"/>
          <w:szCs w:val="32"/>
        </w:rPr>
        <w:t>年预算收入439483.53万元，其中：一般公共预算收入133246.70万元，基金预算收入252907.15万元，财政专户核拨收入0.00万元，其他来源收入0.00万元</w:t>
      </w:r>
      <w:r>
        <w:rPr>
          <w:rFonts w:hint="eastAsia" w:eastAsia="仿宋_GB2312"/>
          <w:sz w:val="32"/>
          <w:szCs w:val="32"/>
        </w:rPr>
        <w:t>，</w:t>
      </w:r>
      <w:r>
        <w:rPr>
          <w:rFonts w:eastAsia="仿宋_GB2312"/>
          <w:sz w:val="32"/>
          <w:szCs w:val="32"/>
        </w:rPr>
        <w:t>上年结转53329.68</w:t>
      </w:r>
      <w:r>
        <w:rPr>
          <w:rFonts w:hint="eastAsia" w:eastAsia="仿宋_GB2312"/>
          <w:sz w:val="32"/>
          <w:szCs w:val="32"/>
        </w:rPr>
        <w:t>万元</w:t>
      </w:r>
      <w:r>
        <w:rPr>
          <w:rFonts w:eastAsia="仿宋_GB2312"/>
          <w:sz w:val="32"/>
          <w:szCs w:val="32"/>
        </w:rPr>
        <w:t>。</w:t>
      </w:r>
    </w:p>
    <w:p>
      <w:pPr>
        <w:spacing w:line="560" w:lineRule="exact"/>
        <w:ind w:firstLine="643" w:firstLineChars="200"/>
        <w:rPr>
          <w:rFonts w:eastAsia="仿宋_GB2312"/>
          <w:b/>
          <w:sz w:val="32"/>
          <w:szCs w:val="32"/>
        </w:rPr>
      </w:pPr>
      <w:r>
        <w:rPr>
          <w:rFonts w:eastAsia="仿宋_GB2312"/>
          <w:b/>
          <w:sz w:val="32"/>
          <w:szCs w:val="32"/>
        </w:rPr>
        <w:t>2、支出说明</w:t>
      </w:r>
    </w:p>
    <w:p>
      <w:pPr>
        <w:spacing w:line="560" w:lineRule="exact"/>
        <w:ind w:firstLine="640" w:firstLineChars="200"/>
        <w:rPr>
          <w:rFonts w:eastAsia="仿宋_GB2312"/>
          <w:sz w:val="32"/>
          <w:szCs w:val="32"/>
          <w:lang w:eastAsia="zh-CN"/>
        </w:rPr>
      </w:pPr>
      <w:r>
        <w:rPr>
          <w:rFonts w:eastAsia="仿宋_GB2312"/>
          <w:sz w:val="32"/>
          <w:szCs w:val="32"/>
        </w:rPr>
        <w:t>收支预算总表支出栏、基本支出表、项目支出表按经济分类和支出功能分类科目编制，反映</w:t>
      </w:r>
      <w:r>
        <w:rPr>
          <w:rFonts w:hint="eastAsia" w:eastAsia="仿宋_GB2312"/>
          <w:sz w:val="32"/>
          <w:szCs w:val="32"/>
        </w:rPr>
        <w:t>北京大兴国际机场临空经济区（廊坊）管理委员会</w:t>
      </w:r>
      <w:r>
        <w:rPr>
          <w:rFonts w:eastAsia="仿宋_GB2312"/>
          <w:sz w:val="32"/>
          <w:szCs w:val="32"/>
        </w:rPr>
        <w:t>2023年度部门预算中支出预算的总体情况。20</w:t>
      </w:r>
      <w:r>
        <w:rPr>
          <w:rFonts w:hint="eastAsia" w:eastAsia="仿宋_GB2312"/>
          <w:sz w:val="32"/>
          <w:szCs w:val="32"/>
        </w:rPr>
        <w:t>23</w:t>
      </w:r>
      <w:r>
        <w:rPr>
          <w:rFonts w:eastAsia="仿宋_GB2312"/>
          <w:sz w:val="32"/>
          <w:szCs w:val="32"/>
        </w:rPr>
        <w:t>年支出预算439483.53万元，其中基本支出3400.00万元，包括人员类项目经费2000.00万元和</w:t>
      </w:r>
      <w:r>
        <w:rPr>
          <w:rFonts w:hint="eastAsia" w:eastAsia="仿宋_GB2312"/>
          <w:sz w:val="32"/>
          <w:szCs w:val="32"/>
        </w:rPr>
        <w:t>运转类</w:t>
      </w:r>
      <w:r>
        <w:rPr>
          <w:rFonts w:eastAsia="仿宋_GB2312"/>
          <w:sz w:val="32"/>
          <w:szCs w:val="32"/>
        </w:rPr>
        <w:t>公用项目经费1400.00万元；运转类其他及特定目标类项目支出</w:t>
      </w:r>
      <w:r>
        <w:rPr>
          <w:rFonts w:hint="eastAsia" w:eastAsia="仿宋_GB2312"/>
          <w:sz w:val="32"/>
          <w:szCs w:val="32"/>
        </w:rPr>
        <w:t>436083.53</w:t>
      </w:r>
      <w:r>
        <w:rPr>
          <w:rFonts w:eastAsia="仿宋_GB2312"/>
          <w:sz w:val="32"/>
          <w:szCs w:val="32"/>
        </w:rPr>
        <w:t>万元，包括本级支出主要为</w:t>
      </w:r>
      <w:r>
        <w:rPr>
          <w:rFonts w:hint="eastAsia" w:eastAsia="仿宋_GB2312"/>
          <w:sz w:val="32"/>
          <w:szCs w:val="32"/>
        </w:rPr>
        <w:t>IS014001环境管理体系项目</w:t>
      </w:r>
      <w:r>
        <w:rPr>
          <w:rFonts w:eastAsia="仿宋_GB2312"/>
          <w:sz w:val="32"/>
          <w:szCs w:val="32"/>
        </w:rPr>
        <w:t>、</w:t>
      </w:r>
      <w:r>
        <w:rPr>
          <w:rFonts w:hint="eastAsia" w:eastAsia="仿宋_GB2312"/>
          <w:sz w:val="32"/>
          <w:szCs w:val="32"/>
        </w:rPr>
        <w:t>市政配套设施电费</w:t>
      </w:r>
      <w:r>
        <w:rPr>
          <w:rFonts w:eastAsia="仿宋_GB2312"/>
          <w:sz w:val="32"/>
          <w:szCs w:val="32"/>
        </w:rPr>
        <w:t>、</w:t>
      </w:r>
      <w:r>
        <w:rPr>
          <w:rFonts w:hint="eastAsia" w:eastAsia="仿宋_GB2312"/>
          <w:sz w:val="32"/>
          <w:szCs w:val="32"/>
        </w:rPr>
        <w:t>综合保税区运行维护费用</w:t>
      </w:r>
      <w:r>
        <w:rPr>
          <w:rFonts w:hint="eastAsia" w:eastAsia="仿宋_GB2312"/>
          <w:sz w:val="32"/>
          <w:szCs w:val="32"/>
          <w:lang w:eastAsia="zh-CN"/>
        </w:rPr>
        <w:t>、财政投资评审资金、集团建设运营补贴、集团建设资金结算、集团注册资本金、临空区综合保障服务资金、临空二小开办经费、临空回迁区12班幼儿园开办经费、项目咨询评估经费、新航中学办公经费、北京大兴国际机场廊坊片区控制性详细规划、国道G105石河营至九州连接线新建工程、智慧城市建设资金、北京大兴国际机场综合保税区运行维护、土地转用征收成本、土地转征征询服务费、城市综合管理资金、购置消防装备器材项目等。</w:t>
      </w:r>
    </w:p>
    <w:p>
      <w:pPr>
        <w:spacing w:line="560" w:lineRule="exact"/>
        <w:ind w:firstLine="643" w:firstLineChars="200"/>
        <w:rPr>
          <w:rFonts w:eastAsia="仿宋_GB2312"/>
          <w:b/>
          <w:sz w:val="32"/>
          <w:szCs w:val="32"/>
        </w:rPr>
      </w:pPr>
      <w:r>
        <w:rPr>
          <w:rFonts w:eastAsia="仿宋_GB2312"/>
          <w:b/>
          <w:sz w:val="32"/>
          <w:szCs w:val="32"/>
        </w:rPr>
        <w:t>3、比上年增减情况</w:t>
      </w:r>
    </w:p>
    <w:p>
      <w:pPr>
        <w:spacing w:line="56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年预算收支安排</w:t>
      </w:r>
      <w:r>
        <w:rPr>
          <w:rFonts w:hint="eastAsia" w:eastAsia="仿宋_GB2312"/>
          <w:sz w:val="32"/>
          <w:szCs w:val="32"/>
        </w:rPr>
        <w:t>439483.53</w:t>
      </w:r>
      <w:r>
        <w:rPr>
          <w:rFonts w:eastAsia="仿宋_GB2312"/>
          <w:sz w:val="32"/>
          <w:szCs w:val="32"/>
        </w:rPr>
        <w:t>万元，较20</w:t>
      </w:r>
      <w:r>
        <w:rPr>
          <w:rFonts w:hint="eastAsia" w:eastAsia="仿宋_GB2312"/>
          <w:sz w:val="32"/>
          <w:szCs w:val="32"/>
        </w:rPr>
        <w:t>22</w:t>
      </w:r>
      <w:r>
        <w:rPr>
          <w:rFonts w:eastAsia="仿宋_GB2312"/>
          <w:sz w:val="32"/>
          <w:szCs w:val="32"/>
        </w:rPr>
        <w:t>年预算减少58099.09万元，其中：基本支出减少139.33万元；项目支出减少57959.76万元，主要为</w:t>
      </w:r>
      <w:r>
        <w:rPr>
          <w:rFonts w:hint="eastAsia" w:eastAsia="仿宋_GB2312"/>
          <w:sz w:val="32"/>
          <w:szCs w:val="32"/>
          <w:lang w:eastAsia="zh-CN"/>
        </w:rPr>
        <w:t>我部门深入贯彻落实政府过紧日子思想，切实落实勤俭节约各项规定，压减项目支出，降低行政运行成本</w:t>
      </w:r>
      <w:r>
        <w:rPr>
          <w:rFonts w:eastAsia="仿宋_GB2312"/>
          <w:sz w:val="32"/>
          <w:szCs w:val="32"/>
          <w:lang w:eastAsia="zh-CN"/>
        </w:rPr>
        <w:t>。</w:t>
      </w:r>
    </w:p>
    <w:p>
      <w:pPr>
        <w:spacing w:line="560" w:lineRule="exact"/>
        <w:ind w:firstLine="640" w:firstLineChars="200"/>
        <w:outlineLvl w:val="2"/>
        <w:rPr>
          <w:rFonts w:ascii="黑体" w:hAnsi="黑体" w:eastAsia="黑体" w:cs="黑体"/>
          <w:color w:val="000000"/>
          <w:sz w:val="32"/>
          <w:szCs w:val="32"/>
        </w:rPr>
      </w:pPr>
      <w:bookmarkStart w:id="2" w:name="_Toc10671"/>
      <w:r>
        <w:rPr>
          <w:rFonts w:ascii="黑体" w:hAnsi="黑体" w:eastAsia="黑体" w:cs="黑体"/>
          <w:color w:val="000000"/>
          <w:sz w:val="32"/>
          <w:szCs w:val="32"/>
        </w:rPr>
        <w:t>三、机关运行经费安排情况</w:t>
      </w:r>
      <w:bookmarkEnd w:id="2"/>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w:t>
      </w:r>
      <w:r>
        <w:rPr>
          <w:rFonts w:hint="eastAsia" w:eastAsia="仿宋_GB2312"/>
          <w:sz w:val="32"/>
          <w:szCs w:val="32"/>
          <w:lang w:eastAsia="zh-CN"/>
        </w:rPr>
        <w:t>我部门</w:t>
      </w:r>
      <w:r>
        <w:rPr>
          <w:rFonts w:eastAsia="仿宋_GB2312"/>
          <w:sz w:val="32"/>
          <w:szCs w:val="32"/>
        </w:rPr>
        <w:t>机关运行经费共计安排1400.00万元，主要用于办公区的</w:t>
      </w:r>
      <w:r>
        <w:rPr>
          <w:rFonts w:hint="eastAsia" w:eastAsia="仿宋_GB2312"/>
          <w:sz w:val="32"/>
          <w:szCs w:val="32"/>
          <w:lang w:eastAsia="zh-CN"/>
        </w:rPr>
        <w:t>租赁</w:t>
      </w:r>
      <w:r>
        <w:rPr>
          <w:rFonts w:eastAsia="仿宋_GB2312"/>
          <w:sz w:val="32"/>
          <w:szCs w:val="32"/>
        </w:rPr>
        <w:t>、办公用房水电费、办公用房取暖费、办公用房物业管理费等日常运行支出。</w:t>
      </w:r>
    </w:p>
    <w:p>
      <w:pPr>
        <w:spacing w:line="560" w:lineRule="exact"/>
        <w:ind w:firstLine="640" w:firstLineChars="200"/>
        <w:outlineLvl w:val="2"/>
        <w:rPr>
          <w:rFonts w:ascii="黑体" w:hAnsi="黑体" w:eastAsia="黑体" w:cs="黑体"/>
          <w:color w:val="000000"/>
          <w:sz w:val="32"/>
          <w:szCs w:val="32"/>
        </w:rPr>
      </w:pPr>
      <w:bookmarkStart w:id="3" w:name="_Toc20282"/>
      <w:r>
        <w:rPr>
          <w:rFonts w:ascii="黑体" w:hAnsi="黑体" w:eastAsia="黑体" w:cs="黑体"/>
          <w:color w:val="000000"/>
          <w:sz w:val="32"/>
          <w:szCs w:val="32"/>
        </w:rPr>
        <w:t>四、财政拨款“三公”经费预算情况及增减变化原因</w:t>
      </w:r>
      <w:bookmarkEnd w:id="3"/>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w:t>
      </w:r>
      <w:r>
        <w:rPr>
          <w:rFonts w:hint="eastAsia" w:eastAsia="仿宋_GB2312"/>
          <w:sz w:val="32"/>
          <w:szCs w:val="32"/>
          <w:lang w:eastAsia="zh-CN"/>
        </w:rPr>
        <w:t>我部门</w:t>
      </w:r>
      <w:r>
        <w:rPr>
          <w:rFonts w:eastAsia="仿宋_GB2312"/>
          <w:sz w:val="32"/>
          <w:szCs w:val="32"/>
        </w:rPr>
        <w:t>财政拨款“三公”经费预算安排</w:t>
      </w:r>
      <w:r>
        <w:rPr>
          <w:rFonts w:hint="eastAsia" w:eastAsia="仿宋_GB2312"/>
          <w:sz w:val="32"/>
          <w:szCs w:val="32"/>
          <w:lang w:eastAsia="zh-CN"/>
        </w:rPr>
        <w:t>110.34</w:t>
      </w:r>
      <w:r>
        <w:rPr>
          <w:rFonts w:eastAsia="仿宋_GB2312"/>
          <w:sz w:val="32"/>
          <w:szCs w:val="32"/>
        </w:rPr>
        <w:t>万元</w:t>
      </w:r>
      <w:r>
        <w:rPr>
          <w:rFonts w:hint="eastAsia" w:eastAsia="仿宋_GB2312"/>
          <w:sz w:val="32"/>
          <w:szCs w:val="32"/>
        </w:rPr>
        <w:t>。</w:t>
      </w:r>
      <w:r>
        <w:rPr>
          <w:rFonts w:eastAsia="仿宋_GB2312"/>
          <w:sz w:val="32"/>
          <w:szCs w:val="32"/>
        </w:rPr>
        <w:t>其中</w:t>
      </w:r>
      <w:r>
        <w:rPr>
          <w:rFonts w:hint="eastAsia" w:eastAsia="仿宋_GB2312"/>
          <w:sz w:val="32"/>
          <w:szCs w:val="32"/>
        </w:rPr>
        <w:t>，</w:t>
      </w:r>
      <w:r>
        <w:rPr>
          <w:rFonts w:eastAsia="仿宋_GB2312"/>
          <w:sz w:val="32"/>
          <w:szCs w:val="32"/>
        </w:rPr>
        <w:t>因公出国（境）费</w:t>
      </w:r>
      <w:r>
        <w:rPr>
          <w:rFonts w:hint="eastAsia" w:eastAsia="仿宋_GB2312"/>
          <w:sz w:val="32"/>
          <w:szCs w:val="32"/>
          <w:lang w:eastAsia="zh-CN"/>
        </w:rPr>
        <w:t>100.00</w:t>
      </w:r>
      <w:r>
        <w:rPr>
          <w:rFonts w:eastAsia="仿宋_GB2312"/>
          <w:sz w:val="32"/>
          <w:szCs w:val="32"/>
        </w:rPr>
        <w:t>万元；公务用车购置及运维费</w:t>
      </w:r>
      <w:r>
        <w:rPr>
          <w:rFonts w:hint="eastAsia" w:eastAsia="仿宋_GB2312"/>
          <w:sz w:val="32"/>
          <w:szCs w:val="32"/>
          <w:lang w:eastAsia="zh-CN"/>
        </w:rPr>
        <w:t>8.97</w:t>
      </w:r>
      <w:r>
        <w:rPr>
          <w:rFonts w:eastAsia="仿宋_GB2312"/>
          <w:sz w:val="32"/>
          <w:szCs w:val="32"/>
        </w:rPr>
        <w:t>万元（其中：公务用车购置费为</w:t>
      </w:r>
      <w:r>
        <w:rPr>
          <w:rFonts w:hint="eastAsia" w:eastAsia="仿宋_GB2312"/>
          <w:sz w:val="32"/>
          <w:szCs w:val="32"/>
          <w:lang w:eastAsia="zh-CN"/>
        </w:rPr>
        <w:t>0.00</w:t>
      </w:r>
      <w:r>
        <w:rPr>
          <w:rFonts w:eastAsia="仿宋_GB2312"/>
          <w:sz w:val="32"/>
          <w:szCs w:val="32"/>
        </w:rPr>
        <w:t>万元，公务用车运维费</w:t>
      </w:r>
      <w:r>
        <w:rPr>
          <w:rFonts w:hint="eastAsia" w:eastAsia="仿宋_GB2312"/>
          <w:sz w:val="32"/>
          <w:szCs w:val="32"/>
          <w:lang w:eastAsia="zh-CN"/>
        </w:rPr>
        <w:t>8.97</w:t>
      </w:r>
      <w:r>
        <w:rPr>
          <w:rFonts w:eastAsia="仿宋_GB2312"/>
          <w:sz w:val="32"/>
          <w:szCs w:val="32"/>
        </w:rPr>
        <w:t>万元)；公务接待费</w:t>
      </w:r>
      <w:r>
        <w:rPr>
          <w:rFonts w:hint="eastAsia" w:eastAsia="仿宋_GB2312"/>
          <w:sz w:val="32"/>
          <w:szCs w:val="32"/>
          <w:lang w:eastAsia="zh-CN"/>
        </w:rPr>
        <w:t>1.37</w:t>
      </w:r>
      <w:r>
        <w:rPr>
          <w:rFonts w:eastAsia="仿宋_GB2312"/>
          <w:sz w:val="32"/>
          <w:szCs w:val="32"/>
        </w:rPr>
        <w:t>万元。与20</w:t>
      </w:r>
      <w:r>
        <w:rPr>
          <w:rFonts w:hint="eastAsia" w:eastAsia="仿宋_GB2312"/>
          <w:sz w:val="32"/>
          <w:szCs w:val="32"/>
        </w:rPr>
        <w:t>22</w:t>
      </w:r>
      <w:r>
        <w:rPr>
          <w:rFonts w:eastAsia="仿宋_GB2312"/>
          <w:sz w:val="32"/>
          <w:szCs w:val="32"/>
        </w:rPr>
        <w:t>年</w:t>
      </w:r>
      <w:r>
        <w:rPr>
          <w:rFonts w:hint="eastAsia" w:eastAsia="仿宋_GB2312"/>
          <w:sz w:val="32"/>
          <w:szCs w:val="32"/>
        </w:rPr>
        <w:t>相比</w:t>
      </w:r>
      <w:r>
        <w:rPr>
          <w:rFonts w:hint="eastAsia" w:eastAsia="仿宋_GB2312"/>
          <w:sz w:val="32"/>
          <w:szCs w:val="32"/>
          <w:lang w:eastAsia="zh-CN"/>
        </w:rPr>
        <w:t>增加99.87</w:t>
      </w:r>
      <w:r>
        <w:rPr>
          <w:rFonts w:eastAsia="仿宋_GB2312"/>
          <w:sz w:val="32"/>
          <w:szCs w:val="32"/>
        </w:rPr>
        <w:t>万元，</w:t>
      </w:r>
      <w:r>
        <w:rPr>
          <w:rFonts w:hint="eastAsia" w:eastAsia="仿宋_GB2312"/>
          <w:sz w:val="32"/>
          <w:szCs w:val="32"/>
        </w:rPr>
        <w:t>其中，</w:t>
      </w:r>
      <w:r>
        <w:rPr>
          <w:rFonts w:eastAsia="仿宋_GB2312"/>
          <w:sz w:val="32"/>
          <w:szCs w:val="32"/>
        </w:rPr>
        <w:t>公务用车购置及运维费</w:t>
      </w:r>
      <w:r>
        <w:rPr>
          <w:rFonts w:hint="eastAsia" w:eastAsia="仿宋_GB2312"/>
          <w:sz w:val="32"/>
          <w:szCs w:val="32"/>
          <w:lang w:eastAsia="zh-CN"/>
        </w:rPr>
        <w:t>减少0.03万元</w:t>
      </w:r>
      <w:r>
        <w:rPr>
          <w:rFonts w:eastAsia="仿宋_GB2312"/>
          <w:sz w:val="32"/>
          <w:szCs w:val="32"/>
        </w:rPr>
        <w:t>（其中：公务用车购置费为</w:t>
      </w:r>
      <w:r>
        <w:rPr>
          <w:rFonts w:hint="eastAsia" w:eastAsia="仿宋_GB2312"/>
          <w:sz w:val="32"/>
          <w:szCs w:val="32"/>
          <w:lang w:eastAsia="zh-CN"/>
        </w:rPr>
        <w:t>0.00</w:t>
      </w:r>
      <w:r>
        <w:rPr>
          <w:rFonts w:eastAsia="仿宋_GB2312"/>
          <w:sz w:val="32"/>
          <w:szCs w:val="32"/>
        </w:rPr>
        <w:t>万元</w:t>
      </w:r>
      <w:r>
        <w:rPr>
          <w:rFonts w:hint="eastAsia" w:eastAsia="仿宋_GB2312"/>
          <w:sz w:val="32"/>
          <w:szCs w:val="32"/>
          <w:lang w:eastAsia="zh-CN"/>
        </w:rPr>
        <w:t>，</w:t>
      </w:r>
      <w:r>
        <w:rPr>
          <w:rFonts w:eastAsia="仿宋_GB2312"/>
          <w:sz w:val="32"/>
          <w:szCs w:val="32"/>
        </w:rPr>
        <w:t>与20</w:t>
      </w:r>
      <w:r>
        <w:rPr>
          <w:rFonts w:hint="eastAsia" w:eastAsia="仿宋_GB2312"/>
          <w:sz w:val="32"/>
          <w:szCs w:val="32"/>
        </w:rPr>
        <w:t>22</w:t>
      </w:r>
      <w:r>
        <w:rPr>
          <w:rFonts w:eastAsia="仿宋_GB2312"/>
          <w:sz w:val="32"/>
          <w:szCs w:val="32"/>
        </w:rPr>
        <w:t>年相比持平，无增减变化。公务用车运维费减</w:t>
      </w:r>
      <w:r>
        <w:rPr>
          <w:rFonts w:hint="eastAsia" w:eastAsia="仿宋_GB2312"/>
          <w:sz w:val="32"/>
          <w:szCs w:val="32"/>
        </w:rPr>
        <w:t>少</w:t>
      </w:r>
      <w:r>
        <w:rPr>
          <w:rFonts w:hint="eastAsia" w:eastAsia="仿宋_GB2312"/>
          <w:sz w:val="32"/>
          <w:szCs w:val="32"/>
          <w:lang w:eastAsia="zh-CN"/>
        </w:rPr>
        <w:t>0.03</w:t>
      </w:r>
      <w:r>
        <w:rPr>
          <w:rFonts w:eastAsia="仿宋_GB2312"/>
          <w:sz w:val="32"/>
          <w:szCs w:val="32"/>
        </w:rPr>
        <w:t>万元)</w:t>
      </w:r>
      <w:r>
        <w:rPr>
          <w:rFonts w:hint="eastAsia" w:eastAsia="仿宋_GB2312"/>
          <w:sz w:val="32"/>
          <w:szCs w:val="32"/>
        </w:rPr>
        <w:t>，</w:t>
      </w:r>
      <w:r>
        <w:rPr>
          <w:rFonts w:eastAsia="仿宋_GB2312"/>
          <w:sz w:val="32"/>
          <w:szCs w:val="32"/>
        </w:rPr>
        <w:t>主要原因是</w:t>
      </w:r>
      <w:r>
        <w:rPr>
          <w:rFonts w:hint="eastAsia" w:eastAsia="仿宋_GB2312"/>
          <w:sz w:val="32"/>
          <w:szCs w:val="32"/>
        </w:rPr>
        <w:t>我部门切实落实勤俭节约各项规定，压减公车运行经费支出。</w:t>
      </w:r>
      <w:r>
        <w:rPr>
          <w:rFonts w:eastAsia="仿宋_GB2312"/>
          <w:sz w:val="32"/>
          <w:szCs w:val="32"/>
        </w:rPr>
        <w:t>公务接待费</w:t>
      </w:r>
      <w:r>
        <w:rPr>
          <w:rFonts w:hint="eastAsia" w:eastAsia="仿宋_GB2312"/>
          <w:sz w:val="32"/>
          <w:szCs w:val="32"/>
          <w:lang w:eastAsia="zh-CN"/>
        </w:rPr>
        <w:t>1.37</w:t>
      </w:r>
      <w:r>
        <w:rPr>
          <w:rFonts w:eastAsia="仿宋_GB2312"/>
          <w:sz w:val="32"/>
          <w:szCs w:val="32"/>
        </w:rPr>
        <w:t>万元减</w:t>
      </w:r>
      <w:r>
        <w:rPr>
          <w:rFonts w:hint="eastAsia" w:eastAsia="仿宋_GB2312"/>
          <w:sz w:val="32"/>
          <w:szCs w:val="32"/>
        </w:rPr>
        <w:t>少</w:t>
      </w:r>
      <w:r>
        <w:rPr>
          <w:rFonts w:hint="eastAsia" w:eastAsia="仿宋_GB2312"/>
          <w:sz w:val="32"/>
          <w:szCs w:val="32"/>
          <w:lang w:eastAsia="zh-CN"/>
        </w:rPr>
        <w:t>0.1</w:t>
      </w:r>
      <w:r>
        <w:rPr>
          <w:rFonts w:hint="eastAsia" w:eastAsia="仿宋_GB2312"/>
          <w:sz w:val="32"/>
          <w:szCs w:val="32"/>
        </w:rPr>
        <w:t>万元，</w:t>
      </w:r>
      <w:r>
        <w:rPr>
          <w:rFonts w:eastAsia="仿宋_GB2312"/>
          <w:sz w:val="32"/>
          <w:szCs w:val="32"/>
        </w:rPr>
        <w:t>主要原因是</w:t>
      </w:r>
      <w:r>
        <w:rPr>
          <w:rFonts w:hint="eastAsia" w:eastAsia="仿宋_GB2312"/>
          <w:sz w:val="32"/>
          <w:szCs w:val="32"/>
        </w:rPr>
        <w:t>我部门切实落实勤俭节约各项规定，严格控制公务接待费支出。）</w:t>
      </w:r>
    </w:p>
    <w:p>
      <w:pPr>
        <w:spacing w:line="560" w:lineRule="exact"/>
        <w:ind w:firstLine="640" w:firstLineChars="200"/>
        <w:outlineLvl w:val="2"/>
        <w:rPr>
          <w:sz w:val="32"/>
          <w:szCs w:val="32"/>
        </w:rPr>
      </w:pPr>
      <w:bookmarkStart w:id="4" w:name="_Toc16306"/>
      <w:r>
        <w:rPr>
          <w:rFonts w:ascii="黑体" w:hAnsi="黑体" w:eastAsia="黑体" w:cs="黑体"/>
          <w:color w:val="000000"/>
          <w:sz w:val="32"/>
          <w:szCs w:val="32"/>
        </w:rPr>
        <w:t>五、预算绩效信息</w:t>
      </w:r>
      <w:bookmarkEnd w:id="4"/>
    </w:p>
    <w:p>
      <w:pPr>
        <w:spacing w:line="560" w:lineRule="exact"/>
        <w:ind w:firstLine="641" w:firstLineChars="200"/>
        <w:rPr>
          <w:sz w:val="32"/>
          <w:szCs w:val="32"/>
        </w:rPr>
      </w:pPr>
      <w:r>
        <w:rPr>
          <w:rFonts w:ascii="方正楷体_GBK" w:hAnsi="方正楷体_GBK" w:eastAsia="方正楷体_GBK" w:cs="方正楷体_GBK"/>
          <w:b/>
          <w:color w:val="000000"/>
          <w:sz w:val="32"/>
          <w:szCs w:val="32"/>
        </w:rPr>
        <w:t>第一部分部门整体绩效目标</w:t>
      </w:r>
    </w:p>
    <w:p>
      <w:pPr>
        <w:spacing w:line="560" w:lineRule="exact"/>
        <w:ind w:firstLine="640" w:firstLineChars="200"/>
        <w:rPr>
          <w:sz w:val="32"/>
          <w:szCs w:val="32"/>
        </w:rPr>
      </w:pPr>
      <w:r>
        <w:rPr>
          <w:rFonts w:eastAsia="方正仿宋_GBK" w:cs="Times New Roman"/>
          <w:color w:val="000000"/>
          <w:sz w:val="32"/>
          <w:szCs w:val="32"/>
        </w:rPr>
        <w:t>（一）总体绩效目标</w:t>
      </w:r>
    </w:p>
    <w:p>
      <w:pPr>
        <w:spacing w:line="560" w:lineRule="exact"/>
        <w:ind w:firstLine="600" w:firstLineChars="200"/>
        <w:rPr>
          <w:rFonts w:ascii="仿宋_GB2312" w:hAnsi="仿宋" w:eastAsia="仿宋_GB2312" w:cs="仿宋"/>
          <w:sz w:val="32"/>
          <w:szCs w:val="32"/>
        </w:rPr>
      </w:pPr>
      <w:r>
        <w:rPr>
          <w:rFonts w:hint="eastAsia" w:ascii="仿宋_GB2312" w:hAnsi="仿宋" w:eastAsia="仿宋_GB2312" w:cs="仿宋"/>
          <w:spacing w:val="-10"/>
          <w:sz w:val="32"/>
          <w:szCs w:val="32"/>
        </w:rPr>
        <w:t>根据</w:t>
      </w:r>
      <w:r>
        <w:rPr>
          <w:rFonts w:hint="eastAsia" w:ascii="仿宋_GB2312" w:hAnsi="仿宋" w:eastAsia="仿宋_GB2312" w:cs="仿宋"/>
          <w:spacing w:val="-5"/>
          <w:sz w:val="32"/>
          <w:szCs w:val="32"/>
        </w:rPr>
        <w:t>中共廊坊市委机构编制委员会关于印发《中共北京大兴国</w:t>
      </w:r>
      <w:r>
        <w:rPr>
          <w:rFonts w:hint="eastAsia" w:ascii="仿宋_GB2312" w:hAnsi="仿宋" w:eastAsia="仿宋_GB2312" w:cs="仿宋"/>
          <w:spacing w:val="-1"/>
          <w:sz w:val="32"/>
          <w:szCs w:val="32"/>
        </w:rPr>
        <w:t>际机场临空</w:t>
      </w:r>
      <w:r>
        <w:rPr>
          <w:rFonts w:hint="eastAsia" w:ascii="仿宋_GB2312" w:hAnsi="仿宋" w:eastAsia="仿宋_GB2312" w:cs="仿宋"/>
          <w:sz w:val="32"/>
          <w:szCs w:val="32"/>
        </w:rPr>
        <w:t>经济区(廊坊)工作委员会</w:t>
      </w:r>
      <w:r>
        <w:rPr>
          <w:rFonts w:hint="eastAsia" w:ascii="仿宋_GB2312" w:hAnsi="仿宋" w:eastAsia="仿宋_GB2312" w:cs="仿宋"/>
          <w:spacing w:val="-5"/>
          <w:sz w:val="32"/>
          <w:szCs w:val="32"/>
        </w:rPr>
        <w:t>北京大兴国际机场临空经济区(廊坊)管理委员会</w:t>
      </w:r>
      <w:r>
        <w:rPr>
          <w:rFonts w:hint="eastAsia" w:ascii="仿宋_GB2312" w:eastAsia="仿宋_GB2312" w:cs="仿宋" w:hAnsiTheme="minorEastAsia"/>
          <w:spacing w:val="-5"/>
          <w:sz w:val="32"/>
          <w:szCs w:val="32"/>
          <w:lang w:eastAsia="zh-CN"/>
        </w:rPr>
        <w:t>(</w:t>
      </w:r>
      <w:r>
        <w:rPr>
          <w:rFonts w:hint="eastAsia" w:ascii="仿宋_GB2312" w:hAnsi="仿宋" w:eastAsia="仿宋_GB2312" w:cs="仿宋"/>
          <w:sz w:val="32"/>
          <w:szCs w:val="32"/>
        </w:rPr>
        <w:t>中国&lt;河北&gt;自由贸易试验区大</w:t>
      </w:r>
      <w:r>
        <w:rPr>
          <w:rFonts w:hint="eastAsia" w:ascii="仿宋_GB2312" w:hAnsi="仿宋" w:eastAsia="仿宋_GB2312" w:cs="仿宋"/>
          <w:spacing w:val="-8"/>
          <w:sz w:val="32"/>
          <w:szCs w:val="32"/>
        </w:rPr>
        <w:t>兴机场片</w:t>
      </w:r>
      <w:r>
        <w:rPr>
          <w:rFonts w:hint="eastAsia" w:ascii="仿宋_GB2312" w:hAnsi="仿宋" w:eastAsia="仿宋_GB2312" w:cs="仿宋"/>
          <w:spacing w:val="-6"/>
          <w:sz w:val="32"/>
          <w:szCs w:val="32"/>
        </w:rPr>
        <w:t>区&lt;</w:t>
      </w:r>
      <w:r>
        <w:rPr>
          <w:rFonts w:hint="eastAsia" w:ascii="仿宋_GB2312" w:hAnsi="仿宋" w:eastAsia="仿宋_GB2312" w:cs="仿宋"/>
          <w:spacing w:val="-4"/>
          <w:sz w:val="32"/>
          <w:szCs w:val="32"/>
        </w:rPr>
        <w:t>廊坊&gt;管理委员会)职能配置、内设机构和人员编制规定</w:t>
      </w:r>
      <w:r>
        <w:rPr>
          <w:rFonts w:hint="eastAsia" w:ascii="仿宋_GB2312" w:hAnsi="仿宋" w:eastAsia="仿宋_GB2312" w:cs="仿宋"/>
          <w:spacing w:val="-8"/>
          <w:sz w:val="32"/>
          <w:szCs w:val="32"/>
        </w:rPr>
        <w:t>》</w:t>
      </w:r>
      <w:r>
        <w:rPr>
          <w:rFonts w:hint="eastAsia" w:ascii="仿宋_GB2312" w:hAnsi="仿宋" w:eastAsia="仿宋_GB2312" w:cs="仿宋"/>
          <w:spacing w:val="-12"/>
          <w:sz w:val="32"/>
          <w:szCs w:val="32"/>
        </w:rPr>
        <w:t>的</w:t>
      </w:r>
      <w:r>
        <w:rPr>
          <w:rFonts w:hint="eastAsia" w:ascii="仿宋_GB2312" w:hAnsi="仿宋" w:eastAsia="仿宋_GB2312" w:cs="仿宋"/>
          <w:spacing w:val="-8"/>
          <w:sz w:val="32"/>
          <w:szCs w:val="32"/>
        </w:rPr>
        <w:t>通知，根据《廊坊临空经济区</w:t>
      </w:r>
      <w:r>
        <w:rPr>
          <w:rFonts w:hint="eastAsia" w:ascii="仿宋_GB2312" w:eastAsia="仿宋_GB2312"/>
          <w:spacing w:val="-8"/>
          <w:sz w:val="32"/>
          <w:szCs w:val="32"/>
        </w:rPr>
        <w:t>2022</w:t>
      </w:r>
      <w:r>
        <w:rPr>
          <w:rFonts w:hint="eastAsia" w:ascii="仿宋_GB2312" w:hAnsi="仿宋" w:eastAsia="仿宋_GB2312" w:cs="仿宋"/>
          <w:spacing w:val="-8"/>
          <w:sz w:val="32"/>
          <w:szCs w:val="32"/>
        </w:rPr>
        <w:t>年工作总结及</w:t>
      </w:r>
      <w:r>
        <w:rPr>
          <w:rFonts w:hint="eastAsia" w:ascii="仿宋_GB2312" w:eastAsia="仿宋_GB2312"/>
          <w:spacing w:val="-8"/>
          <w:sz w:val="32"/>
          <w:szCs w:val="32"/>
        </w:rPr>
        <w:t>2023</w:t>
      </w:r>
      <w:r>
        <w:rPr>
          <w:rFonts w:hint="eastAsia" w:ascii="仿宋_GB2312" w:hAnsi="仿宋" w:eastAsia="仿宋_GB2312" w:cs="仿宋"/>
          <w:spacing w:val="-8"/>
          <w:sz w:val="32"/>
          <w:szCs w:val="32"/>
        </w:rPr>
        <w:t>年工作</w:t>
      </w:r>
      <w:r>
        <w:rPr>
          <w:rFonts w:hint="eastAsia" w:ascii="仿宋_GB2312" w:hAnsi="仿宋" w:eastAsia="仿宋_GB2312" w:cs="仿宋"/>
          <w:spacing w:val="-11"/>
          <w:sz w:val="32"/>
          <w:szCs w:val="32"/>
        </w:rPr>
        <w:t>谋划情况的汇报》。</w:t>
      </w:r>
      <w:r>
        <w:rPr>
          <w:rFonts w:hint="eastAsia" w:ascii="仿宋_GB2312" w:eastAsia="仿宋_GB2312"/>
          <w:spacing w:val="-11"/>
          <w:sz w:val="32"/>
          <w:szCs w:val="32"/>
        </w:rPr>
        <w:t>2023</w:t>
      </w:r>
      <w:r>
        <w:rPr>
          <w:rFonts w:hint="eastAsia" w:ascii="仿宋_GB2312" w:hAnsi="仿宋" w:eastAsia="仿宋_GB2312" w:cs="仿宋"/>
          <w:spacing w:val="-11"/>
          <w:sz w:val="32"/>
          <w:szCs w:val="32"/>
        </w:rPr>
        <w:t>年北京大兴国际机场临空经济区(廊坊</w:t>
      </w:r>
      <w:r>
        <w:rPr>
          <w:rFonts w:hint="eastAsia" w:ascii="仿宋_GB2312" w:hAnsi="仿宋" w:eastAsia="仿宋_GB2312" w:cs="仿宋"/>
          <w:spacing w:val="-8"/>
          <w:sz w:val="32"/>
          <w:szCs w:val="32"/>
        </w:rPr>
        <w:t>)</w:t>
      </w:r>
      <w:r>
        <w:rPr>
          <w:rFonts w:hint="eastAsia" w:ascii="仿宋_GB2312" w:hAnsi="仿宋" w:eastAsia="仿宋_GB2312" w:cs="仿宋"/>
          <w:spacing w:val="-43"/>
          <w:sz w:val="32"/>
          <w:szCs w:val="32"/>
        </w:rPr>
        <w:t>管</w:t>
      </w:r>
      <w:r>
        <w:rPr>
          <w:rFonts w:hint="eastAsia" w:ascii="仿宋_GB2312" w:hAnsi="仿宋" w:eastAsia="仿宋_GB2312" w:cs="仿宋"/>
          <w:spacing w:val="-23"/>
          <w:sz w:val="32"/>
          <w:szCs w:val="32"/>
        </w:rPr>
        <w:t>理委员会总体发展目标是：一、抓投资、上项目，形成经济发展新</w:t>
      </w:r>
      <w:r>
        <w:rPr>
          <w:rFonts w:hint="eastAsia" w:ascii="仿宋_GB2312" w:hAnsi="仿宋" w:eastAsia="仿宋_GB2312" w:cs="仿宋"/>
          <w:spacing w:val="-20"/>
          <w:sz w:val="32"/>
          <w:szCs w:val="32"/>
        </w:rPr>
        <w:t>增</w:t>
      </w:r>
      <w:r>
        <w:rPr>
          <w:rFonts w:hint="eastAsia" w:ascii="仿宋_GB2312" w:hAnsi="仿宋" w:eastAsia="仿宋_GB2312" w:cs="仿宋"/>
          <w:spacing w:val="-13"/>
          <w:sz w:val="32"/>
          <w:szCs w:val="32"/>
        </w:rPr>
        <w:t>长。牢固树立</w:t>
      </w:r>
      <w:r>
        <w:rPr>
          <w:rFonts w:hint="eastAsia" w:ascii="仿宋_GB2312" w:eastAsia="仿宋_GB2312"/>
          <w:spacing w:val="-13"/>
          <w:sz w:val="32"/>
          <w:szCs w:val="32"/>
        </w:rPr>
        <w:t>“</w:t>
      </w:r>
      <w:r>
        <w:rPr>
          <w:rFonts w:hint="eastAsia" w:ascii="仿宋_GB2312" w:hAnsi="仿宋" w:eastAsia="仿宋_GB2312" w:cs="仿宋"/>
          <w:spacing w:val="-13"/>
          <w:sz w:val="32"/>
          <w:szCs w:val="32"/>
        </w:rPr>
        <w:t>无项目不发展、无创新不驱动</w:t>
      </w:r>
      <w:r>
        <w:rPr>
          <w:rFonts w:hint="eastAsia" w:ascii="仿宋_GB2312" w:eastAsia="仿宋_GB2312"/>
          <w:spacing w:val="-13"/>
          <w:sz w:val="32"/>
          <w:szCs w:val="32"/>
        </w:rPr>
        <w:t>”</w:t>
      </w:r>
      <w:r>
        <w:rPr>
          <w:rFonts w:hint="eastAsia" w:ascii="仿宋_GB2312" w:hAnsi="仿宋" w:eastAsia="仿宋_GB2312" w:cs="仿宋"/>
          <w:spacing w:val="-13"/>
          <w:sz w:val="32"/>
          <w:szCs w:val="32"/>
        </w:rPr>
        <w:t>的理念，把抓投资作</w:t>
      </w:r>
      <w:r>
        <w:rPr>
          <w:rFonts w:hint="eastAsia" w:ascii="仿宋_GB2312" w:hAnsi="仿宋" w:eastAsia="仿宋_GB2312" w:cs="仿宋"/>
          <w:spacing w:val="-42"/>
          <w:sz w:val="32"/>
          <w:szCs w:val="32"/>
        </w:rPr>
        <w:t>为</w:t>
      </w:r>
      <w:r>
        <w:rPr>
          <w:rFonts w:hint="eastAsia" w:ascii="仿宋_GB2312" w:hAnsi="仿宋" w:eastAsia="仿宋_GB2312" w:cs="仿宋"/>
          <w:spacing w:val="-23"/>
          <w:sz w:val="32"/>
          <w:szCs w:val="32"/>
        </w:rPr>
        <w:t>当前一切工作的重中之重，专班推进，争取一批新项目、大项目、</w:t>
      </w:r>
      <w:r>
        <w:rPr>
          <w:rFonts w:hint="eastAsia" w:ascii="仿宋_GB2312" w:hAnsi="仿宋" w:eastAsia="仿宋_GB2312" w:cs="仿宋"/>
          <w:spacing w:val="-8"/>
          <w:sz w:val="32"/>
          <w:szCs w:val="32"/>
        </w:rPr>
        <w:t>好项目列入</w:t>
      </w:r>
      <w:r>
        <w:rPr>
          <w:rFonts w:hint="eastAsia" w:ascii="仿宋_GB2312" w:hAnsi="仿宋" w:eastAsia="仿宋_GB2312" w:cs="仿宋"/>
          <w:spacing w:val="-6"/>
          <w:sz w:val="32"/>
          <w:szCs w:val="32"/>
        </w:rPr>
        <w:t>国</w:t>
      </w:r>
      <w:r>
        <w:rPr>
          <w:rFonts w:hint="eastAsia" w:ascii="仿宋_GB2312" w:hAnsi="仿宋" w:eastAsia="仿宋_GB2312" w:cs="仿宋"/>
          <w:spacing w:val="-4"/>
          <w:sz w:val="32"/>
          <w:szCs w:val="32"/>
        </w:rPr>
        <w:t>家和省大盘布局，强化要素资源保障，形成更多实物</w:t>
      </w:r>
      <w:r>
        <w:rPr>
          <w:rFonts w:hint="eastAsia" w:ascii="仿宋_GB2312" w:hAnsi="仿宋" w:eastAsia="仿宋_GB2312" w:cs="仿宋"/>
          <w:spacing w:val="-15"/>
          <w:sz w:val="32"/>
          <w:szCs w:val="32"/>
        </w:rPr>
        <w:t>工程量。二、深化规划设计，加速片区复合开发，打造全域覆盖、分</w:t>
      </w:r>
      <w:r>
        <w:rPr>
          <w:rFonts w:hint="eastAsia" w:ascii="仿宋_GB2312" w:hAnsi="仿宋" w:eastAsia="仿宋_GB2312" w:cs="仿宋"/>
          <w:spacing w:val="-9"/>
          <w:sz w:val="32"/>
          <w:szCs w:val="32"/>
        </w:rPr>
        <w:t>层</w:t>
      </w:r>
      <w:r>
        <w:rPr>
          <w:rFonts w:hint="eastAsia" w:ascii="仿宋_GB2312" w:hAnsi="仿宋" w:eastAsia="仿宋_GB2312" w:cs="仿宋"/>
          <w:spacing w:val="-5"/>
          <w:sz w:val="32"/>
          <w:szCs w:val="32"/>
        </w:rPr>
        <w:t>管理、分类指导的规划管控导则体系、精准配套市政基础设施和</w:t>
      </w:r>
      <w:r>
        <w:rPr>
          <w:rFonts w:hint="eastAsia" w:ascii="仿宋_GB2312" w:hAnsi="仿宋" w:eastAsia="仿宋_GB2312" w:cs="仿宋"/>
          <w:spacing w:val="-15"/>
          <w:sz w:val="32"/>
          <w:szCs w:val="32"/>
        </w:rPr>
        <w:t>公共服务设施、域内域外联动，实现职住平衡。三、高品质设计、</w:t>
      </w:r>
      <w:r>
        <w:rPr>
          <w:rFonts w:hint="eastAsia" w:ascii="仿宋_GB2312" w:hAnsi="仿宋" w:eastAsia="仿宋_GB2312" w:cs="仿宋"/>
          <w:spacing w:val="-13"/>
          <w:sz w:val="32"/>
          <w:szCs w:val="32"/>
        </w:rPr>
        <w:t>高</w:t>
      </w:r>
      <w:r>
        <w:rPr>
          <w:rFonts w:hint="eastAsia" w:ascii="仿宋_GB2312" w:hAnsi="仿宋" w:eastAsia="仿宋_GB2312" w:cs="仿宋"/>
          <w:spacing w:val="-8"/>
          <w:sz w:val="32"/>
          <w:szCs w:val="32"/>
        </w:rPr>
        <w:t>标准建设，</w:t>
      </w:r>
      <w:r>
        <w:rPr>
          <w:rFonts w:hint="eastAsia" w:ascii="仿宋_GB2312" w:hAnsi="仿宋" w:eastAsia="仿宋_GB2312" w:cs="仿宋"/>
          <w:spacing w:val="-4"/>
          <w:sz w:val="32"/>
          <w:szCs w:val="32"/>
        </w:rPr>
        <w:t>打造中国式现代化临空新场景。坚持世界眼光、国际标</w:t>
      </w:r>
      <w:r>
        <w:rPr>
          <w:rFonts w:hint="eastAsia" w:ascii="仿宋_GB2312" w:hAnsi="仿宋" w:eastAsia="仿宋_GB2312" w:cs="仿宋"/>
          <w:spacing w:val="-18"/>
          <w:sz w:val="32"/>
          <w:szCs w:val="32"/>
        </w:rPr>
        <w:t>准</w:t>
      </w:r>
      <w:r>
        <w:rPr>
          <w:rFonts w:hint="eastAsia" w:ascii="仿宋_GB2312" w:hAnsi="仿宋" w:eastAsia="仿宋_GB2312" w:cs="仿宋"/>
          <w:spacing w:val="-13"/>
          <w:sz w:val="32"/>
          <w:szCs w:val="32"/>
        </w:rPr>
        <w:t>，在</w:t>
      </w:r>
      <w:r>
        <w:rPr>
          <w:rFonts w:hint="eastAsia" w:ascii="仿宋_GB2312" w:eastAsia="仿宋_GB2312"/>
          <w:spacing w:val="-13"/>
          <w:sz w:val="32"/>
          <w:szCs w:val="32"/>
        </w:rPr>
        <w:t>“1+4+13”</w:t>
      </w:r>
      <w:r>
        <w:rPr>
          <w:rFonts w:hint="eastAsia" w:ascii="仿宋_GB2312" w:hAnsi="仿宋" w:eastAsia="仿宋_GB2312" w:cs="仿宋"/>
          <w:spacing w:val="-13"/>
          <w:sz w:val="32"/>
          <w:szCs w:val="32"/>
        </w:rPr>
        <w:t>规划体系的基础之上，以产定城、以城促产，进一步</w:t>
      </w:r>
      <w:r>
        <w:rPr>
          <w:rFonts w:hint="eastAsia" w:ascii="仿宋_GB2312" w:hAnsi="仿宋" w:eastAsia="仿宋_GB2312" w:cs="仿宋"/>
          <w:spacing w:val="-8"/>
          <w:sz w:val="32"/>
          <w:szCs w:val="32"/>
        </w:rPr>
        <w:t>深化城市设</w:t>
      </w:r>
      <w:r>
        <w:rPr>
          <w:rFonts w:hint="eastAsia" w:ascii="仿宋_GB2312" w:hAnsi="仿宋" w:eastAsia="仿宋_GB2312" w:cs="仿宋"/>
          <w:spacing w:val="-4"/>
          <w:sz w:val="32"/>
          <w:szCs w:val="32"/>
        </w:rPr>
        <w:t>计，完善基础设施建设，促进城市功能均衡合理布局和</w:t>
      </w:r>
      <w:r>
        <w:rPr>
          <w:rFonts w:hint="eastAsia" w:ascii="仿宋_GB2312" w:hAnsi="仿宋" w:eastAsia="仿宋_GB2312" w:cs="仿宋"/>
          <w:spacing w:val="-8"/>
          <w:sz w:val="32"/>
          <w:szCs w:val="32"/>
        </w:rPr>
        <w:t>城市形态</w:t>
      </w:r>
      <w:r>
        <w:rPr>
          <w:rFonts w:hint="eastAsia" w:ascii="仿宋_GB2312" w:hAnsi="仿宋" w:eastAsia="仿宋_GB2312" w:cs="仿宋"/>
          <w:spacing w:val="-7"/>
          <w:sz w:val="32"/>
          <w:szCs w:val="32"/>
        </w:rPr>
        <w:t>深</w:t>
      </w:r>
      <w:r>
        <w:rPr>
          <w:rFonts w:hint="eastAsia" w:ascii="仿宋_GB2312" w:hAnsi="仿宋" w:eastAsia="仿宋_GB2312" w:cs="仿宋"/>
          <w:spacing w:val="-4"/>
          <w:sz w:val="32"/>
          <w:szCs w:val="32"/>
        </w:rPr>
        <w:t>化完善，做到城市空间形态与产业布局相协调、城市功</w:t>
      </w:r>
      <w:r>
        <w:rPr>
          <w:rFonts w:hint="eastAsia" w:ascii="仿宋_GB2312" w:hAnsi="仿宋" w:eastAsia="仿宋_GB2312" w:cs="仿宋"/>
          <w:spacing w:val="-33"/>
          <w:sz w:val="32"/>
          <w:szCs w:val="32"/>
        </w:rPr>
        <w:t>能</w:t>
      </w:r>
      <w:r>
        <w:rPr>
          <w:rFonts w:hint="eastAsia" w:ascii="仿宋_GB2312" w:hAnsi="仿宋" w:eastAsia="仿宋_GB2312" w:cs="仿宋"/>
          <w:spacing w:val="-20"/>
          <w:sz w:val="32"/>
          <w:szCs w:val="32"/>
        </w:rPr>
        <w:t>与产业业态相匹配，</w:t>
      </w:r>
      <w:r>
        <w:rPr>
          <w:rFonts w:hint="eastAsia" w:ascii="仿宋_GB2312" w:eastAsia="仿宋_GB2312"/>
          <w:spacing w:val="-20"/>
          <w:sz w:val="32"/>
          <w:szCs w:val="32"/>
        </w:rPr>
        <w:t>2023</w:t>
      </w:r>
      <w:r>
        <w:rPr>
          <w:rFonts w:hint="eastAsia" w:ascii="仿宋_GB2312" w:hAnsi="仿宋" w:eastAsia="仿宋_GB2312" w:cs="仿宋"/>
          <w:spacing w:val="-20"/>
          <w:sz w:val="32"/>
          <w:szCs w:val="32"/>
        </w:rPr>
        <w:t>年全面实施</w:t>
      </w:r>
      <w:r>
        <w:rPr>
          <w:rFonts w:hint="eastAsia" w:ascii="仿宋_GB2312" w:eastAsia="仿宋_GB2312"/>
          <w:spacing w:val="-20"/>
          <w:sz w:val="32"/>
          <w:szCs w:val="32"/>
        </w:rPr>
        <w:t>20</w:t>
      </w:r>
      <w:r>
        <w:rPr>
          <w:rFonts w:hint="eastAsia" w:ascii="仿宋_GB2312" w:hAnsi="仿宋" w:eastAsia="仿宋_GB2312" w:cs="仿宋"/>
          <w:spacing w:val="-20"/>
          <w:sz w:val="32"/>
          <w:szCs w:val="32"/>
        </w:rPr>
        <w:t>项临空场景项目清单，推</w:t>
      </w:r>
      <w:r>
        <w:rPr>
          <w:rFonts w:hint="eastAsia" w:ascii="仿宋_GB2312" w:hAnsi="仿宋" w:eastAsia="仿宋_GB2312" w:cs="仿宋"/>
          <w:spacing w:val="-38"/>
          <w:sz w:val="32"/>
          <w:szCs w:val="32"/>
        </w:rPr>
        <w:t>出</w:t>
      </w:r>
      <w:r>
        <w:rPr>
          <w:rFonts w:hint="eastAsia" w:ascii="仿宋_GB2312" w:eastAsia="仿宋_GB2312"/>
          <w:spacing w:val="-24"/>
          <w:sz w:val="32"/>
          <w:szCs w:val="32"/>
        </w:rPr>
        <w:t>10</w:t>
      </w:r>
      <w:r>
        <w:rPr>
          <w:rFonts w:hint="eastAsia" w:ascii="仿宋_GB2312" w:hAnsi="仿宋" w:eastAsia="仿宋_GB2312" w:cs="仿宋"/>
          <w:spacing w:val="-24"/>
          <w:sz w:val="32"/>
          <w:szCs w:val="32"/>
        </w:rPr>
        <w:t>个中国式现代化应用场景，赋能临空高质量发展。四、优服务、</w:t>
      </w:r>
      <w:r>
        <w:rPr>
          <w:rFonts w:hint="eastAsia" w:ascii="仿宋_GB2312" w:hAnsi="仿宋" w:eastAsia="仿宋_GB2312" w:cs="仿宋"/>
          <w:spacing w:val="-15"/>
          <w:sz w:val="32"/>
          <w:szCs w:val="32"/>
        </w:rPr>
        <w:t>强管理，开创城市服务新典范。从临空经济区未来生产力布局、生</w:t>
      </w:r>
      <w:r>
        <w:rPr>
          <w:rFonts w:hint="eastAsia" w:ascii="仿宋_GB2312" w:hAnsi="仿宋" w:eastAsia="仿宋_GB2312" w:cs="仿宋"/>
          <w:spacing w:val="-12"/>
          <w:sz w:val="32"/>
          <w:szCs w:val="32"/>
        </w:rPr>
        <w:t>产</w:t>
      </w:r>
      <w:r>
        <w:rPr>
          <w:rFonts w:hint="eastAsia" w:ascii="仿宋_GB2312" w:hAnsi="仿宋" w:eastAsia="仿宋_GB2312" w:cs="仿宋"/>
          <w:spacing w:val="-29"/>
          <w:sz w:val="32"/>
          <w:szCs w:val="32"/>
        </w:rPr>
        <w:t>生</w:t>
      </w:r>
      <w:r>
        <w:rPr>
          <w:rFonts w:hint="eastAsia" w:ascii="仿宋_GB2312" w:hAnsi="仿宋" w:eastAsia="仿宋_GB2312" w:cs="仿宋"/>
          <w:spacing w:val="-19"/>
          <w:sz w:val="32"/>
          <w:szCs w:val="32"/>
        </w:rPr>
        <w:t>态要素空间布局、人口空间布局三个维度出发，坚持政府主导、企</w:t>
      </w:r>
      <w:r>
        <w:rPr>
          <w:rFonts w:hint="eastAsia" w:ascii="仿宋_GB2312" w:hAnsi="仿宋" w:eastAsia="仿宋_GB2312" w:cs="仿宋"/>
          <w:spacing w:val="-15"/>
          <w:sz w:val="32"/>
          <w:szCs w:val="32"/>
        </w:rPr>
        <w:t>业主体、商业逻辑，用功能提升片区价值，用生态提升片区品质，</w:t>
      </w:r>
      <w:r>
        <w:rPr>
          <w:rFonts w:hint="eastAsia" w:ascii="仿宋_GB2312" w:hAnsi="仿宋" w:eastAsia="仿宋_GB2312" w:cs="仿宋"/>
          <w:spacing w:val="-14"/>
          <w:sz w:val="32"/>
          <w:szCs w:val="32"/>
        </w:rPr>
        <w:t>用</w:t>
      </w:r>
      <w:r>
        <w:rPr>
          <w:rFonts w:hint="eastAsia" w:ascii="仿宋_GB2312" w:hAnsi="仿宋" w:eastAsia="仿宋_GB2312" w:cs="仿宋"/>
          <w:spacing w:val="-29"/>
          <w:sz w:val="32"/>
          <w:szCs w:val="32"/>
        </w:rPr>
        <w:t>配</w:t>
      </w:r>
      <w:r>
        <w:rPr>
          <w:rFonts w:hint="eastAsia" w:ascii="仿宋_GB2312" w:hAnsi="仿宋" w:eastAsia="仿宋_GB2312" w:cs="仿宋"/>
          <w:spacing w:val="-19"/>
          <w:sz w:val="32"/>
          <w:szCs w:val="32"/>
        </w:rPr>
        <w:t>套提升片区优势。五、坚持党建引领、勇于创新，构建优化体制机</w:t>
      </w:r>
      <w:r>
        <w:rPr>
          <w:rFonts w:hint="eastAsia" w:ascii="仿宋_GB2312" w:hAnsi="仿宋" w:eastAsia="仿宋_GB2312" w:cs="仿宋"/>
          <w:spacing w:val="-11"/>
          <w:sz w:val="32"/>
          <w:szCs w:val="32"/>
        </w:rPr>
        <w:t>制</w:t>
      </w:r>
      <w:r>
        <w:rPr>
          <w:rFonts w:hint="eastAsia" w:ascii="仿宋_GB2312" w:hAnsi="仿宋" w:eastAsia="仿宋_GB2312" w:cs="仿宋"/>
          <w:spacing w:val="-9"/>
          <w:sz w:val="32"/>
          <w:szCs w:val="32"/>
        </w:rPr>
        <w:t>新格局。突出党建核心引领作用，持续开展</w:t>
      </w:r>
      <w:r>
        <w:rPr>
          <w:rFonts w:hint="eastAsia" w:ascii="仿宋_GB2312" w:eastAsia="仿宋_GB2312"/>
          <w:spacing w:val="-9"/>
          <w:sz w:val="32"/>
          <w:szCs w:val="32"/>
        </w:rPr>
        <w:t>“</w:t>
      </w:r>
      <w:r>
        <w:rPr>
          <w:rFonts w:hint="eastAsia" w:ascii="仿宋_GB2312" w:hAnsi="仿宋" w:eastAsia="仿宋_GB2312" w:cs="仿宋"/>
          <w:spacing w:val="-9"/>
          <w:sz w:val="32"/>
          <w:szCs w:val="32"/>
        </w:rPr>
        <w:t>我为群众办实事、我</w:t>
      </w:r>
      <w:r>
        <w:rPr>
          <w:rFonts w:hint="eastAsia" w:ascii="仿宋_GB2312" w:hAnsi="仿宋" w:eastAsia="仿宋_GB2312" w:cs="仿宋"/>
          <w:spacing w:val="-12"/>
          <w:sz w:val="32"/>
          <w:szCs w:val="32"/>
        </w:rPr>
        <w:t>为</w:t>
      </w:r>
      <w:r>
        <w:rPr>
          <w:rFonts w:hint="eastAsia" w:ascii="仿宋_GB2312" w:hAnsi="仿宋" w:eastAsia="仿宋_GB2312" w:cs="仿宋"/>
          <w:spacing w:val="-9"/>
          <w:sz w:val="32"/>
          <w:szCs w:val="32"/>
        </w:rPr>
        <w:t>项目解难题</w:t>
      </w:r>
      <w:r>
        <w:rPr>
          <w:rFonts w:hint="eastAsia" w:ascii="仿宋_GB2312" w:eastAsia="仿宋_GB2312"/>
          <w:spacing w:val="-9"/>
          <w:sz w:val="32"/>
          <w:szCs w:val="32"/>
        </w:rPr>
        <w:t>”</w:t>
      </w:r>
      <w:r>
        <w:rPr>
          <w:rFonts w:hint="eastAsia" w:ascii="仿宋_GB2312" w:hAnsi="仿宋" w:eastAsia="仿宋_GB2312" w:cs="仿宋"/>
          <w:spacing w:val="-9"/>
          <w:sz w:val="32"/>
          <w:szCs w:val="32"/>
        </w:rPr>
        <w:t>系列活动；加大重点领域改革力度，推动有效市场和</w:t>
      </w:r>
      <w:r>
        <w:rPr>
          <w:rFonts w:hint="eastAsia" w:ascii="仿宋_GB2312" w:hAnsi="仿宋" w:eastAsia="仿宋_GB2312" w:cs="仿宋"/>
          <w:spacing w:val="-8"/>
          <w:sz w:val="32"/>
          <w:szCs w:val="32"/>
        </w:rPr>
        <w:t>有为政府更</w:t>
      </w:r>
      <w:r>
        <w:rPr>
          <w:rFonts w:hint="eastAsia" w:ascii="仿宋_GB2312" w:hAnsi="仿宋" w:eastAsia="仿宋_GB2312" w:cs="仿宋"/>
          <w:spacing w:val="-4"/>
          <w:sz w:val="32"/>
          <w:szCs w:val="32"/>
        </w:rPr>
        <w:t>好结合。确立以市场化为导向的开放灵活的临空用人机</w:t>
      </w:r>
      <w:r>
        <w:rPr>
          <w:rFonts w:hint="eastAsia" w:ascii="仿宋_GB2312" w:hAnsi="仿宋" w:eastAsia="仿宋_GB2312" w:cs="仿宋"/>
          <w:spacing w:val="-8"/>
          <w:sz w:val="32"/>
          <w:szCs w:val="32"/>
        </w:rPr>
        <w:t>制，优化临</w:t>
      </w:r>
      <w:r>
        <w:rPr>
          <w:rFonts w:hint="eastAsia" w:ascii="仿宋_GB2312" w:hAnsi="仿宋" w:eastAsia="仿宋_GB2312" w:cs="仿宋"/>
          <w:spacing w:val="-4"/>
          <w:sz w:val="32"/>
          <w:szCs w:val="32"/>
        </w:rPr>
        <w:t>空人才队伍引育用留机制，建立博士工作站、院士工作</w:t>
      </w:r>
      <w:r>
        <w:rPr>
          <w:rFonts w:hint="eastAsia" w:ascii="仿宋_GB2312" w:hAnsi="仿宋" w:eastAsia="仿宋_GB2312" w:cs="仿宋"/>
          <w:spacing w:val="-15"/>
          <w:sz w:val="32"/>
          <w:szCs w:val="32"/>
        </w:rPr>
        <w:t>站、匹配人才公寓、设置人才津贴住房补贴，促进政校企合作，培</w:t>
      </w:r>
      <w:r>
        <w:rPr>
          <w:rFonts w:hint="eastAsia" w:ascii="仿宋_GB2312" w:hAnsi="仿宋" w:eastAsia="仿宋_GB2312" w:cs="仿宋"/>
          <w:spacing w:val="-14"/>
          <w:sz w:val="32"/>
          <w:szCs w:val="32"/>
        </w:rPr>
        <w:t>育</w:t>
      </w:r>
      <w:r>
        <w:rPr>
          <w:rFonts w:hint="eastAsia" w:ascii="仿宋_GB2312" w:hAnsi="仿宋" w:eastAsia="仿宋_GB2312" w:cs="仿宋"/>
          <w:spacing w:val="-8"/>
          <w:sz w:val="32"/>
          <w:szCs w:val="32"/>
        </w:rPr>
        <w:t>储备高素质</w:t>
      </w:r>
      <w:r>
        <w:rPr>
          <w:rFonts w:hint="eastAsia" w:ascii="仿宋_GB2312" w:hAnsi="仿宋" w:eastAsia="仿宋_GB2312" w:cs="仿宋"/>
          <w:spacing w:val="-4"/>
          <w:sz w:val="32"/>
          <w:szCs w:val="32"/>
        </w:rPr>
        <w:t>人才，为临空经济区高质量发展夯实党建基础、体制基</w:t>
      </w:r>
      <w:r>
        <w:rPr>
          <w:rFonts w:hint="eastAsia" w:ascii="仿宋_GB2312" w:hAnsi="仿宋" w:eastAsia="仿宋_GB2312" w:cs="仿宋"/>
          <w:spacing w:val="-15"/>
          <w:sz w:val="32"/>
          <w:szCs w:val="32"/>
        </w:rPr>
        <w:t>础、人才基础。六、强化京冀联动，扩大对外开放平台。持续开展</w:t>
      </w:r>
      <w:r>
        <w:rPr>
          <w:rFonts w:hint="eastAsia" w:ascii="仿宋_GB2312" w:hAnsi="仿宋" w:eastAsia="仿宋_GB2312" w:cs="仿宋"/>
          <w:spacing w:val="-13"/>
          <w:sz w:val="32"/>
          <w:szCs w:val="32"/>
        </w:rPr>
        <w:t>制</w:t>
      </w:r>
      <w:r>
        <w:rPr>
          <w:rFonts w:hint="eastAsia" w:ascii="仿宋_GB2312" w:hAnsi="仿宋" w:eastAsia="仿宋_GB2312" w:cs="仿宋"/>
          <w:spacing w:val="-15"/>
          <w:sz w:val="32"/>
          <w:szCs w:val="32"/>
        </w:rPr>
        <w:t>度创新工作，加快推进自贸区建设、加快推进综保区建设，打造世</w:t>
      </w:r>
      <w:r>
        <w:rPr>
          <w:rFonts w:hint="eastAsia" w:ascii="仿宋_GB2312" w:hAnsi="仿宋" w:eastAsia="仿宋_GB2312" w:cs="仿宋"/>
          <w:spacing w:val="-12"/>
          <w:sz w:val="32"/>
          <w:szCs w:val="32"/>
        </w:rPr>
        <w:t>界</w:t>
      </w:r>
      <w:r>
        <w:rPr>
          <w:rFonts w:hint="eastAsia" w:ascii="仿宋_GB2312" w:hAnsi="仿宋" w:eastAsia="仿宋_GB2312" w:cs="仿宋"/>
          <w:spacing w:val="-18"/>
          <w:sz w:val="32"/>
          <w:szCs w:val="32"/>
        </w:rPr>
        <w:t>一</w:t>
      </w:r>
      <w:r>
        <w:rPr>
          <w:rFonts w:hint="eastAsia" w:ascii="仿宋_GB2312" w:hAnsi="仿宋" w:eastAsia="仿宋_GB2312" w:cs="仿宋"/>
          <w:spacing w:val="-14"/>
          <w:sz w:val="32"/>
          <w:szCs w:val="32"/>
        </w:rPr>
        <w:t>流综保区。</w:t>
      </w:r>
    </w:p>
    <w:p>
      <w:pPr>
        <w:spacing w:line="560" w:lineRule="exact"/>
        <w:ind w:firstLine="640" w:firstLineChars="200"/>
        <w:rPr>
          <w:sz w:val="32"/>
          <w:szCs w:val="32"/>
        </w:rPr>
      </w:pPr>
      <w:r>
        <w:rPr>
          <w:rFonts w:eastAsia="方正仿宋_GBK" w:cs="Times New Roman"/>
          <w:color w:val="000000"/>
          <w:sz w:val="32"/>
          <w:szCs w:val="32"/>
        </w:rPr>
        <w:t>（二）分项绩效目标</w:t>
      </w:r>
    </w:p>
    <w:p>
      <w:pPr>
        <w:snapToGrid w:val="0"/>
        <w:spacing w:line="560" w:lineRule="exact"/>
        <w:ind w:firstLine="684" w:firstLineChars="200"/>
        <w:rPr>
          <w:rFonts w:eastAsia="仿宋_GB2312" w:cs="楷体"/>
          <w:sz w:val="32"/>
          <w:szCs w:val="32"/>
        </w:rPr>
      </w:pPr>
      <w:r>
        <w:rPr>
          <w:rFonts w:hint="eastAsia" w:eastAsia="仿宋_GB2312" w:cs="楷体"/>
          <w:spacing w:val="11"/>
          <w:sz w:val="32"/>
          <w:szCs w:val="32"/>
          <w:lang w:eastAsia="zh-CN"/>
        </w:rPr>
        <w:t>1.</w:t>
      </w:r>
      <w:r>
        <w:rPr>
          <w:rFonts w:hAnsi="楷体" w:eastAsia="仿宋_GB2312" w:cs="楷体"/>
          <w:spacing w:val="7"/>
          <w:sz w:val="32"/>
          <w:szCs w:val="32"/>
        </w:rPr>
        <w:t>完成经济发展新增长</w:t>
      </w:r>
    </w:p>
    <w:p>
      <w:pPr>
        <w:pStyle w:val="26"/>
        <w:snapToGrid w:val="0"/>
        <w:spacing w:line="560" w:lineRule="exact"/>
        <w:ind w:firstLine="572" w:firstLineChars="200"/>
        <w:rPr>
          <w:rFonts w:eastAsia="仿宋_GB2312" w:cs="仿宋"/>
          <w:spacing w:val="-12"/>
          <w:sz w:val="32"/>
          <w:szCs w:val="32"/>
          <w:lang w:eastAsia="zh-CN"/>
        </w:rPr>
      </w:pPr>
      <w:r>
        <w:rPr>
          <w:rFonts w:hAnsi="仿宋" w:eastAsia="仿宋_GB2312" w:cs="仿宋"/>
          <w:spacing w:val="-17"/>
          <w:sz w:val="32"/>
          <w:szCs w:val="32"/>
        </w:rPr>
        <w:t>绩效目标：通过社会化、市场化、资本化运作，以推进高质量</w:t>
      </w:r>
      <w:r>
        <w:rPr>
          <w:rFonts w:hAnsi="仿宋" w:eastAsia="仿宋_GB2312" w:cs="仿宋"/>
          <w:spacing w:val="-12"/>
          <w:sz w:val="32"/>
          <w:szCs w:val="32"/>
        </w:rPr>
        <w:t>发</w:t>
      </w:r>
      <w:r>
        <w:rPr>
          <w:rFonts w:hAnsi="仿宋" w:eastAsia="仿宋_GB2312" w:cs="仿宋"/>
          <w:spacing w:val="-17"/>
          <w:sz w:val="32"/>
          <w:szCs w:val="32"/>
        </w:rPr>
        <w:t>展</w:t>
      </w:r>
      <w:r>
        <w:rPr>
          <w:rFonts w:hAnsi="仿宋" w:eastAsia="仿宋_GB2312" w:cs="仿宋"/>
          <w:spacing w:val="-9"/>
          <w:sz w:val="32"/>
          <w:szCs w:val="32"/>
        </w:rPr>
        <w:t>三年行动计划为统揽，以</w:t>
      </w:r>
      <w:r>
        <w:rPr>
          <w:rFonts w:eastAsia="仿宋_GB2312"/>
          <w:spacing w:val="-9"/>
          <w:sz w:val="32"/>
          <w:szCs w:val="32"/>
        </w:rPr>
        <w:t>“</w:t>
      </w:r>
      <w:r>
        <w:rPr>
          <w:rFonts w:hAnsi="仿宋" w:eastAsia="仿宋_GB2312" w:cs="仿宋"/>
          <w:spacing w:val="-9"/>
          <w:sz w:val="32"/>
          <w:szCs w:val="32"/>
        </w:rPr>
        <w:t>借势发展现代商贸物流，落地一批标志</w:t>
      </w:r>
      <w:r>
        <w:rPr>
          <w:rFonts w:hAnsi="仿宋" w:eastAsia="仿宋_GB2312" w:cs="仿宋"/>
          <w:spacing w:val="-25"/>
          <w:sz w:val="32"/>
          <w:szCs w:val="32"/>
        </w:rPr>
        <w:t>性</w:t>
      </w:r>
      <w:r>
        <w:rPr>
          <w:rFonts w:hAnsi="仿宋" w:eastAsia="仿宋_GB2312" w:cs="仿宋"/>
          <w:spacing w:val="-13"/>
          <w:sz w:val="32"/>
          <w:szCs w:val="32"/>
        </w:rPr>
        <w:t>产业项目</w:t>
      </w:r>
      <w:r>
        <w:rPr>
          <w:rFonts w:eastAsia="仿宋_GB2312"/>
          <w:spacing w:val="-13"/>
          <w:sz w:val="32"/>
          <w:szCs w:val="32"/>
        </w:rPr>
        <w:t>”</w:t>
      </w:r>
      <w:r>
        <w:rPr>
          <w:rFonts w:hAnsi="仿宋" w:eastAsia="仿宋_GB2312" w:cs="仿宋"/>
          <w:spacing w:val="-13"/>
          <w:sz w:val="32"/>
          <w:szCs w:val="32"/>
        </w:rPr>
        <w:t>为工作主线，把打造</w:t>
      </w:r>
      <w:r>
        <w:rPr>
          <w:rFonts w:eastAsia="仿宋_GB2312"/>
          <w:spacing w:val="-13"/>
          <w:sz w:val="32"/>
          <w:szCs w:val="32"/>
        </w:rPr>
        <w:t>“</w:t>
      </w:r>
      <w:r>
        <w:rPr>
          <w:rFonts w:hAnsi="仿宋" w:eastAsia="仿宋_GB2312" w:cs="仿宋"/>
          <w:spacing w:val="-13"/>
          <w:sz w:val="32"/>
          <w:szCs w:val="32"/>
        </w:rPr>
        <w:t>北部产城融合新典范、南部首个百</w:t>
      </w:r>
      <w:r>
        <w:rPr>
          <w:rFonts w:hAnsi="仿宋" w:eastAsia="仿宋_GB2312" w:cs="仿宋"/>
          <w:spacing w:val="-8"/>
          <w:sz w:val="32"/>
          <w:szCs w:val="32"/>
        </w:rPr>
        <w:t>亿级产业集群</w:t>
      </w:r>
      <w:r>
        <w:rPr>
          <w:rFonts w:eastAsia="仿宋_GB2312"/>
          <w:spacing w:val="-8"/>
          <w:sz w:val="32"/>
          <w:szCs w:val="32"/>
        </w:rPr>
        <w:t>”</w:t>
      </w:r>
      <w:r>
        <w:rPr>
          <w:rFonts w:hAnsi="仿宋" w:eastAsia="仿宋_GB2312" w:cs="仿宋"/>
          <w:spacing w:val="-8"/>
          <w:sz w:val="32"/>
          <w:szCs w:val="32"/>
        </w:rPr>
        <w:t>作为首要任务，积极发挥</w:t>
      </w:r>
      <w:r>
        <w:rPr>
          <w:rFonts w:eastAsia="仿宋_GB2312"/>
          <w:spacing w:val="-8"/>
          <w:sz w:val="32"/>
          <w:szCs w:val="32"/>
        </w:rPr>
        <w:t>“</w:t>
      </w:r>
      <w:r>
        <w:rPr>
          <w:rFonts w:hAnsi="仿宋" w:eastAsia="仿宋_GB2312" w:cs="仿宋"/>
          <w:spacing w:val="-8"/>
          <w:sz w:val="32"/>
          <w:szCs w:val="32"/>
        </w:rPr>
        <w:t>以展促产、以展兴城</w:t>
      </w:r>
      <w:r>
        <w:rPr>
          <w:rFonts w:eastAsia="仿宋_GB2312"/>
          <w:spacing w:val="-8"/>
          <w:sz w:val="32"/>
          <w:szCs w:val="32"/>
        </w:rPr>
        <w:t>”</w:t>
      </w:r>
      <w:r>
        <w:rPr>
          <w:rFonts w:hAnsi="仿宋" w:eastAsia="仿宋_GB2312" w:cs="仿宋"/>
          <w:spacing w:val="-8"/>
          <w:sz w:val="32"/>
          <w:szCs w:val="32"/>
        </w:rPr>
        <w:t>的</w:t>
      </w:r>
      <w:r>
        <w:rPr>
          <w:rFonts w:hAnsi="仿宋" w:eastAsia="仿宋_GB2312" w:cs="仿宋"/>
          <w:spacing w:val="-5"/>
          <w:sz w:val="32"/>
          <w:szCs w:val="32"/>
        </w:rPr>
        <w:t>会展带动作用，快速导入一批生命健康和高端智能装备制造产业，</w:t>
      </w:r>
      <w:r>
        <w:rPr>
          <w:rFonts w:hAnsi="仿宋" w:eastAsia="仿宋_GB2312" w:cs="仿宋"/>
          <w:spacing w:val="-3"/>
          <w:sz w:val="32"/>
          <w:szCs w:val="32"/>
        </w:rPr>
        <w:t>推</w:t>
      </w:r>
      <w:r>
        <w:rPr>
          <w:rFonts w:hAnsi="仿宋" w:eastAsia="仿宋_GB2312" w:cs="仿宋"/>
          <w:spacing w:val="-17"/>
          <w:sz w:val="32"/>
          <w:szCs w:val="32"/>
        </w:rPr>
        <w:t>动</w:t>
      </w:r>
      <w:r>
        <w:rPr>
          <w:rFonts w:hAnsi="仿宋" w:eastAsia="仿宋_GB2312" w:cs="仿宋"/>
          <w:spacing w:val="-12"/>
          <w:sz w:val="32"/>
          <w:szCs w:val="32"/>
        </w:rPr>
        <w:t>形成产业融合新典范</w:t>
      </w:r>
      <w:r>
        <w:rPr>
          <w:rFonts w:hint="eastAsia" w:eastAsia="仿宋_GB2312" w:cs="仿宋" w:hAnsiTheme="minorEastAsia"/>
          <w:spacing w:val="-12"/>
          <w:sz w:val="32"/>
          <w:szCs w:val="32"/>
          <w:lang w:eastAsia="zh-CN"/>
        </w:rPr>
        <w:t>。</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绩效指标：依托跨境电子商务综合试验区建设，积极培育引</w:t>
      </w:r>
      <w:r>
        <w:rPr>
          <w:rFonts w:hAnsi="仿宋" w:eastAsia="仿宋_GB2312" w:cs="仿宋"/>
          <w:spacing w:val="-3"/>
          <w:sz w:val="32"/>
          <w:szCs w:val="32"/>
        </w:rPr>
        <w:t>进</w:t>
      </w:r>
      <w:r>
        <w:rPr>
          <w:rFonts w:hAnsi="仿宋" w:eastAsia="仿宋_GB2312" w:cs="仿宋"/>
          <w:spacing w:val="-20"/>
          <w:sz w:val="32"/>
          <w:szCs w:val="32"/>
        </w:rPr>
        <w:t>跨</w:t>
      </w:r>
      <w:r>
        <w:rPr>
          <w:rFonts w:hAnsi="仿宋" w:eastAsia="仿宋_GB2312" w:cs="仿宋"/>
          <w:spacing w:val="-16"/>
          <w:sz w:val="32"/>
          <w:szCs w:val="32"/>
        </w:rPr>
        <w:t>境电商平台企业，全年落地知名跨境电商企业</w:t>
      </w:r>
      <w:r>
        <w:rPr>
          <w:rFonts w:eastAsia="仿宋_GB2312"/>
          <w:spacing w:val="-16"/>
          <w:sz w:val="32"/>
          <w:szCs w:val="32"/>
        </w:rPr>
        <w:t>30</w:t>
      </w:r>
      <w:r>
        <w:rPr>
          <w:rFonts w:hAnsi="仿宋" w:eastAsia="仿宋_GB2312" w:cs="仿宋"/>
          <w:spacing w:val="-16"/>
          <w:sz w:val="32"/>
          <w:szCs w:val="32"/>
        </w:rPr>
        <w:t>家以上、国际商</w:t>
      </w:r>
      <w:r>
        <w:rPr>
          <w:rFonts w:hAnsi="仿宋" w:eastAsia="仿宋_GB2312" w:cs="仿宋"/>
          <w:spacing w:val="-24"/>
          <w:sz w:val="32"/>
          <w:szCs w:val="32"/>
        </w:rPr>
        <w:t>贸</w:t>
      </w:r>
      <w:r>
        <w:rPr>
          <w:rFonts w:hAnsi="仿宋" w:eastAsia="仿宋_GB2312" w:cs="仿宋"/>
          <w:spacing w:val="-18"/>
          <w:sz w:val="32"/>
          <w:szCs w:val="32"/>
        </w:rPr>
        <w:t>物流区域总部</w:t>
      </w:r>
      <w:r>
        <w:rPr>
          <w:rFonts w:eastAsia="仿宋_GB2312"/>
          <w:spacing w:val="-18"/>
          <w:sz w:val="32"/>
          <w:szCs w:val="32"/>
        </w:rPr>
        <w:t>10</w:t>
      </w:r>
      <w:r>
        <w:rPr>
          <w:rFonts w:hAnsi="仿宋" w:eastAsia="仿宋_GB2312" w:cs="仿宋"/>
          <w:spacing w:val="-18"/>
          <w:sz w:val="32"/>
          <w:szCs w:val="32"/>
        </w:rPr>
        <w:t>个以上；</w:t>
      </w:r>
      <w:r>
        <w:rPr>
          <w:rFonts w:eastAsia="仿宋_GB2312"/>
          <w:spacing w:val="-18"/>
          <w:sz w:val="32"/>
          <w:szCs w:val="32"/>
        </w:rPr>
        <w:t>2023</w:t>
      </w:r>
      <w:r>
        <w:rPr>
          <w:rFonts w:hAnsi="仿宋" w:eastAsia="仿宋_GB2312" w:cs="仿宋"/>
          <w:spacing w:val="-18"/>
          <w:sz w:val="32"/>
          <w:szCs w:val="32"/>
        </w:rPr>
        <w:t>年</w:t>
      </w:r>
      <w:r>
        <w:rPr>
          <w:rFonts w:eastAsia="仿宋_GB2312"/>
          <w:spacing w:val="-18"/>
          <w:sz w:val="32"/>
          <w:szCs w:val="32"/>
        </w:rPr>
        <w:t>3</w:t>
      </w:r>
      <w:r>
        <w:rPr>
          <w:rFonts w:hAnsi="仿宋" w:eastAsia="仿宋_GB2312" w:cs="仿宋"/>
          <w:spacing w:val="-18"/>
          <w:sz w:val="32"/>
          <w:szCs w:val="32"/>
        </w:rPr>
        <w:t>月底前，确保会展中心如期交</w:t>
      </w:r>
      <w:r>
        <w:rPr>
          <w:rFonts w:hAnsi="仿宋" w:eastAsia="仿宋_GB2312" w:cs="仿宋"/>
          <w:spacing w:val="-21"/>
          <w:sz w:val="32"/>
          <w:szCs w:val="32"/>
        </w:rPr>
        <w:t>付使用；</w:t>
      </w:r>
      <w:r>
        <w:rPr>
          <w:rFonts w:eastAsia="仿宋_GB2312"/>
          <w:spacing w:val="-21"/>
          <w:sz w:val="32"/>
          <w:szCs w:val="32"/>
        </w:rPr>
        <w:t>4</w:t>
      </w:r>
      <w:r>
        <w:rPr>
          <w:rFonts w:hAnsi="仿宋" w:eastAsia="仿宋_GB2312" w:cs="仿宋"/>
          <w:spacing w:val="-21"/>
          <w:sz w:val="32"/>
          <w:szCs w:val="32"/>
        </w:rPr>
        <w:t>月底实现临空大道及临空大桥项目全线通车；廊洽会期</w:t>
      </w:r>
      <w:r>
        <w:rPr>
          <w:rFonts w:hAnsi="仿宋" w:eastAsia="仿宋_GB2312" w:cs="仿宋"/>
          <w:spacing w:val="-15"/>
          <w:sz w:val="32"/>
          <w:szCs w:val="32"/>
        </w:rPr>
        <w:t>间</w:t>
      </w:r>
      <w:r>
        <w:rPr>
          <w:rFonts w:hAnsi="仿宋" w:eastAsia="仿宋_GB2312" w:cs="仿宋"/>
          <w:spacing w:val="-13"/>
          <w:sz w:val="32"/>
          <w:szCs w:val="32"/>
        </w:rPr>
        <w:t>签约重点项目不少于</w:t>
      </w:r>
      <w:r>
        <w:rPr>
          <w:rFonts w:eastAsia="仿宋_GB2312"/>
          <w:spacing w:val="-13"/>
          <w:sz w:val="32"/>
          <w:szCs w:val="32"/>
        </w:rPr>
        <w:t>30</w:t>
      </w:r>
      <w:r>
        <w:rPr>
          <w:rFonts w:hAnsi="仿宋" w:eastAsia="仿宋_GB2312" w:cs="仿宋"/>
          <w:spacing w:val="-13"/>
          <w:sz w:val="32"/>
          <w:szCs w:val="32"/>
        </w:rPr>
        <w:t>个；全年签约产业项目不少于</w:t>
      </w:r>
      <w:r>
        <w:rPr>
          <w:rFonts w:eastAsia="仿宋_GB2312"/>
          <w:spacing w:val="-13"/>
          <w:sz w:val="32"/>
          <w:szCs w:val="32"/>
        </w:rPr>
        <w:t>150</w:t>
      </w:r>
      <w:r>
        <w:rPr>
          <w:rFonts w:hAnsi="仿宋" w:eastAsia="仿宋_GB2312" w:cs="仿宋"/>
          <w:spacing w:val="-13"/>
          <w:sz w:val="32"/>
          <w:szCs w:val="32"/>
        </w:rPr>
        <w:t>个；全</w:t>
      </w:r>
      <w:r>
        <w:rPr>
          <w:rFonts w:hAnsi="仿宋" w:eastAsia="仿宋_GB2312" w:cs="仿宋"/>
          <w:spacing w:val="-11"/>
          <w:sz w:val="32"/>
          <w:szCs w:val="32"/>
        </w:rPr>
        <w:t>年</w:t>
      </w:r>
      <w:r>
        <w:rPr>
          <w:rFonts w:hAnsi="仿宋" w:eastAsia="仿宋_GB2312" w:cs="仿宋"/>
          <w:spacing w:val="-22"/>
          <w:sz w:val="32"/>
          <w:szCs w:val="32"/>
        </w:rPr>
        <w:t>招</w:t>
      </w:r>
      <w:r>
        <w:rPr>
          <w:rFonts w:hAnsi="仿宋" w:eastAsia="仿宋_GB2312" w:cs="仿宋"/>
          <w:spacing w:val="-12"/>
          <w:sz w:val="32"/>
          <w:szCs w:val="32"/>
        </w:rPr>
        <w:t>引</w:t>
      </w:r>
      <w:r>
        <w:rPr>
          <w:rFonts w:hAnsi="仿宋" w:eastAsia="仿宋_GB2312" w:cs="仿宋"/>
          <w:spacing w:val="-11"/>
          <w:sz w:val="32"/>
          <w:szCs w:val="32"/>
        </w:rPr>
        <w:t>落地项目不少于</w:t>
      </w:r>
      <w:r>
        <w:rPr>
          <w:rFonts w:eastAsia="仿宋_GB2312"/>
          <w:spacing w:val="-11"/>
          <w:sz w:val="32"/>
          <w:szCs w:val="32"/>
        </w:rPr>
        <w:t>120</w:t>
      </w:r>
      <w:r>
        <w:rPr>
          <w:rFonts w:hAnsi="仿宋" w:eastAsia="仿宋_GB2312" w:cs="仿宋"/>
          <w:spacing w:val="-11"/>
          <w:sz w:val="32"/>
          <w:szCs w:val="32"/>
        </w:rPr>
        <w:t>个；新增注册优质企业不少于</w:t>
      </w:r>
      <w:r>
        <w:rPr>
          <w:rFonts w:eastAsia="仿宋_GB2312"/>
          <w:spacing w:val="-11"/>
          <w:sz w:val="32"/>
          <w:szCs w:val="32"/>
        </w:rPr>
        <w:t>1500</w:t>
      </w:r>
      <w:r>
        <w:rPr>
          <w:rFonts w:hAnsi="仿宋" w:eastAsia="仿宋_GB2312" w:cs="仿宋"/>
          <w:spacing w:val="-11"/>
          <w:sz w:val="32"/>
          <w:szCs w:val="32"/>
        </w:rPr>
        <w:t>家。</w:t>
      </w:r>
    </w:p>
    <w:p>
      <w:pPr>
        <w:snapToGrid w:val="0"/>
        <w:spacing w:line="560" w:lineRule="exact"/>
        <w:ind w:firstLine="656" w:firstLineChars="200"/>
        <w:rPr>
          <w:rFonts w:eastAsia="仿宋_GB2312" w:cs="楷体"/>
          <w:sz w:val="32"/>
          <w:szCs w:val="32"/>
        </w:rPr>
      </w:pPr>
      <w:r>
        <w:rPr>
          <w:rFonts w:hint="eastAsia" w:eastAsia="仿宋_GB2312" w:cs="楷体"/>
          <w:spacing w:val="4"/>
          <w:sz w:val="32"/>
          <w:szCs w:val="32"/>
          <w:lang w:eastAsia="zh-CN"/>
        </w:rPr>
        <w:t>2.</w:t>
      </w:r>
      <w:r>
        <w:rPr>
          <w:rFonts w:hAnsi="楷体" w:eastAsia="仿宋_GB2312" w:cs="楷体"/>
          <w:spacing w:val="4"/>
          <w:sz w:val="32"/>
          <w:szCs w:val="32"/>
        </w:rPr>
        <w:t>完</w:t>
      </w:r>
      <w:r>
        <w:rPr>
          <w:rFonts w:hAnsi="楷体" w:eastAsia="仿宋_GB2312" w:cs="楷体"/>
          <w:spacing w:val="3"/>
          <w:sz w:val="32"/>
          <w:szCs w:val="32"/>
        </w:rPr>
        <w:t>成</w:t>
      </w:r>
      <w:r>
        <w:rPr>
          <w:rFonts w:hAnsi="楷体" w:eastAsia="仿宋_GB2312" w:cs="楷体"/>
          <w:spacing w:val="2"/>
          <w:sz w:val="32"/>
          <w:szCs w:val="32"/>
        </w:rPr>
        <w:t>临空区控制性详细规划编制工作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绩效目标：通过北京大兴国际机场临空经济区廊坊片区控制</w:t>
      </w:r>
      <w:r>
        <w:rPr>
          <w:rFonts w:hAnsi="仿宋" w:eastAsia="仿宋_GB2312" w:cs="仿宋"/>
          <w:spacing w:val="-3"/>
          <w:sz w:val="32"/>
          <w:szCs w:val="32"/>
        </w:rPr>
        <w:t>性</w:t>
      </w:r>
      <w:r>
        <w:rPr>
          <w:rFonts w:hAnsi="仿宋" w:eastAsia="仿宋_GB2312" w:cs="仿宋"/>
          <w:spacing w:val="-5"/>
          <w:sz w:val="32"/>
          <w:szCs w:val="32"/>
        </w:rPr>
        <w:t>详细规划项目在功能结构、总体容量、设施保障等方面发挥底线</w:t>
      </w:r>
      <w:r>
        <w:rPr>
          <w:rFonts w:hAnsi="仿宋" w:eastAsia="仿宋_GB2312" w:cs="仿宋"/>
          <w:spacing w:val="-2"/>
          <w:sz w:val="32"/>
          <w:szCs w:val="32"/>
        </w:rPr>
        <w:t>管</w:t>
      </w:r>
      <w:r>
        <w:rPr>
          <w:rFonts w:hAnsi="仿宋" w:eastAsia="仿宋_GB2312" w:cs="仿宋"/>
          <w:spacing w:val="-17"/>
          <w:sz w:val="32"/>
          <w:szCs w:val="32"/>
        </w:rPr>
        <w:t>控</w:t>
      </w:r>
      <w:r>
        <w:rPr>
          <w:rFonts w:hAnsi="仿宋" w:eastAsia="仿宋_GB2312" w:cs="仿宋"/>
          <w:spacing w:val="-12"/>
          <w:sz w:val="32"/>
          <w:szCs w:val="32"/>
        </w:rPr>
        <w:t>的重要作用，是临空经济区廊坊片区开展国土空间开发保护活动、</w:t>
      </w:r>
      <w:r>
        <w:rPr>
          <w:rFonts w:hAnsi="仿宋" w:eastAsia="仿宋_GB2312" w:cs="仿宋"/>
          <w:spacing w:val="-5"/>
          <w:sz w:val="32"/>
          <w:szCs w:val="32"/>
        </w:rPr>
        <w:t>实施国土空间用途管制、核发城乡建设项目规划许可、进行各项</w:t>
      </w:r>
      <w:r>
        <w:rPr>
          <w:rFonts w:hAnsi="仿宋" w:eastAsia="仿宋_GB2312" w:cs="仿宋"/>
          <w:spacing w:val="-2"/>
          <w:sz w:val="32"/>
          <w:szCs w:val="32"/>
        </w:rPr>
        <w:t>建</w:t>
      </w:r>
      <w:r>
        <w:rPr>
          <w:rFonts w:hAnsi="仿宋" w:eastAsia="仿宋_GB2312" w:cs="仿宋"/>
          <w:spacing w:val="-20"/>
          <w:sz w:val="32"/>
          <w:szCs w:val="32"/>
        </w:rPr>
        <w:t>设</w:t>
      </w:r>
      <w:r>
        <w:rPr>
          <w:rFonts w:hAnsi="仿宋" w:eastAsia="仿宋_GB2312" w:cs="仿宋"/>
          <w:spacing w:val="-13"/>
          <w:sz w:val="32"/>
          <w:szCs w:val="32"/>
        </w:rPr>
        <w:t>等的法定依据。</w:t>
      </w:r>
    </w:p>
    <w:p>
      <w:pPr>
        <w:snapToGrid w:val="0"/>
        <w:spacing w:line="560" w:lineRule="exact"/>
        <w:ind w:firstLine="544" w:firstLineChars="200"/>
        <w:rPr>
          <w:rFonts w:eastAsia="仿宋_GB2312" w:cs="仿宋"/>
          <w:sz w:val="32"/>
          <w:szCs w:val="32"/>
        </w:rPr>
      </w:pPr>
      <w:r>
        <w:rPr>
          <w:rFonts w:hAnsi="仿宋" w:eastAsia="仿宋_GB2312" w:cs="仿宋"/>
          <w:spacing w:val="-24"/>
          <w:sz w:val="32"/>
          <w:szCs w:val="32"/>
        </w:rPr>
        <w:t>绩</w:t>
      </w:r>
      <w:r>
        <w:rPr>
          <w:rFonts w:hAnsi="仿宋" w:eastAsia="仿宋_GB2312" w:cs="仿宋"/>
          <w:spacing w:val="-20"/>
          <w:sz w:val="32"/>
          <w:szCs w:val="32"/>
        </w:rPr>
        <w:t>效</w:t>
      </w:r>
      <w:r>
        <w:rPr>
          <w:rFonts w:hAnsi="仿宋" w:eastAsia="仿宋_GB2312" w:cs="仿宋"/>
          <w:spacing w:val="-12"/>
          <w:sz w:val="32"/>
          <w:szCs w:val="32"/>
        </w:rPr>
        <w:t>指标：通过项目的有序开展，于</w:t>
      </w:r>
      <w:r>
        <w:rPr>
          <w:rFonts w:eastAsia="仿宋_GB2312"/>
          <w:spacing w:val="-12"/>
          <w:sz w:val="32"/>
          <w:szCs w:val="32"/>
        </w:rPr>
        <w:t>2023</w:t>
      </w:r>
      <w:r>
        <w:rPr>
          <w:rFonts w:hAnsi="仿宋" w:eastAsia="仿宋_GB2312" w:cs="仿宋"/>
          <w:spacing w:val="-12"/>
          <w:sz w:val="32"/>
          <w:szCs w:val="32"/>
        </w:rPr>
        <w:t>年底完成北京大兴国</w:t>
      </w:r>
      <w:r>
        <w:rPr>
          <w:rFonts w:hAnsi="仿宋" w:eastAsia="仿宋_GB2312" w:cs="仿宋"/>
          <w:spacing w:val="-10"/>
          <w:sz w:val="32"/>
          <w:szCs w:val="32"/>
        </w:rPr>
        <w:t>际机</w:t>
      </w:r>
      <w:r>
        <w:rPr>
          <w:rFonts w:hAnsi="仿宋" w:eastAsia="仿宋_GB2312" w:cs="仿宋"/>
          <w:spacing w:val="-5"/>
          <w:sz w:val="32"/>
          <w:szCs w:val="32"/>
        </w:rPr>
        <w:t>场临空经济区廊坊片区控制性详细规划编制工作，包括单元层</w:t>
      </w:r>
      <w:r>
        <w:rPr>
          <w:rFonts w:hAnsi="仿宋" w:eastAsia="仿宋_GB2312" w:cs="仿宋"/>
          <w:spacing w:val="-10"/>
          <w:sz w:val="32"/>
          <w:szCs w:val="32"/>
        </w:rPr>
        <w:t>级控</w:t>
      </w:r>
      <w:r>
        <w:rPr>
          <w:rFonts w:hAnsi="仿宋" w:eastAsia="仿宋_GB2312" w:cs="仿宋"/>
          <w:spacing w:val="-5"/>
          <w:sz w:val="32"/>
          <w:szCs w:val="32"/>
        </w:rPr>
        <w:t>规和启动区部分地块街区层级控规两项成果内容。项目总价编</w:t>
      </w:r>
      <w:r>
        <w:rPr>
          <w:rFonts w:hAnsi="仿宋" w:eastAsia="仿宋_GB2312" w:cs="仿宋"/>
          <w:spacing w:val="-9"/>
          <w:sz w:val="32"/>
          <w:szCs w:val="32"/>
        </w:rPr>
        <w:t>制成本不高于</w:t>
      </w:r>
      <w:r>
        <w:rPr>
          <w:rFonts w:eastAsia="仿宋_GB2312"/>
          <w:spacing w:val="-9"/>
          <w:sz w:val="32"/>
          <w:szCs w:val="32"/>
        </w:rPr>
        <w:t>860</w:t>
      </w:r>
      <w:r>
        <w:rPr>
          <w:rFonts w:hAnsi="仿宋" w:eastAsia="仿宋_GB2312" w:cs="仿宋"/>
          <w:spacing w:val="-9"/>
          <w:sz w:val="32"/>
          <w:szCs w:val="32"/>
        </w:rPr>
        <w:t>万元，并保证提交</w:t>
      </w:r>
      <w:r>
        <w:rPr>
          <w:rFonts w:eastAsia="仿宋_GB2312"/>
          <w:spacing w:val="-9"/>
          <w:sz w:val="32"/>
          <w:szCs w:val="32"/>
        </w:rPr>
        <w:t>2</w:t>
      </w:r>
      <w:r>
        <w:rPr>
          <w:rFonts w:hAnsi="仿宋" w:eastAsia="仿宋_GB2312" w:cs="仿宋"/>
          <w:spacing w:val="-9"/>
          <w:sz w:val="32"/>
          <w:szCs w:val="32"/>
        </w:rPr>
        <w:t>套完整成果，为解决临空经</w:t>
      </w:r>
      <w:r>
        <w:rPr>
          <w:rFonts w:hAnsi="仿宋" w:eastAsia="仿宋_GB2312" w:cs="仿宋"/>
          <w:spacing w:val="-10"/>
          <w:sz w:val="32"/>
          <w:szCs w:val="32"/>
        </w:rPr>
        <w:t>济区</w:t>
      </w:r>
      <w:r>
        <w:rPr>
          <w:rFonts w:hAnsi="仿宋" w:eastAsia="仿宋_GB2312" w:cs="仿宋"/>
          <w:spacing w:val="-5"/>
          <w:sz w:val="32"/>
          <w:szCs w:val="32"/>
        </w:rPr>
        <w:t>廊坊片区现行控规面临的问题提供思路，指导临空经济区廊坊</w:t>
      </w:r>
      <w:r>
        <w:rPr>
          <w:rFonts w:hAnsi="仿宋" w:eastAsia="仿宋_GB2312" w:cs="仿宋"/>
          <w:spacing w:val="-18"/>
          <w:sz w:val="32"/>
          <w:szCs w:val="32"/>
        </w:rPr>
        <w:t>片</w:t>
      </w:r>
      <w:r>
        <w:rPr>
          <w:rFonts w:hAnsi="仿宋" w:eastAsia="仿宋_GB2312" w:cs="仿宋"/>
          <w:spacing w:val="-16"/>
          <w:sz w:val="32"/>
          <w:szCs w:val="32"/>
        </w:rPr>
        <w:t>区城市建设。</w:t>
      </w:r>
    </w:p>
    <w:p>
      <w:pPr>
        <w:snapToGrid w:val="0"/>
        <w:spacing w:line="560" w:lineRule="exact"/>
        <w:ind w:firstLine="628" w:firstLineChars="200"/>
        <w:rPr>
          <w:rFonts w:eastAsia="仿宋_GB2312" w:cs="楷体"/>
          <w:sz w:val="32"/>
          <w:szCs w:val="32"/>
        </w:rPr>
      </w:pPr>
      <w:r>
        <w:rPr>
          <w:rFonts w:hint="eastAsia" w:eastAsia="仿宋_GB2312" w:cs="楷体"/>
          <w:spacing w:val="-3"/>
          <w:sz w:val="32"/>
          <w:szCs w:val="32"/>
          <w:lang w:eastAsia="zh-CN"/>
        </w:rPr>
        <w:t>3.</w:t>
      </w:r>
      <w:r>
        <w:rPr>
          <w:rFonts w:hAnsi="楷体" w:eastAsia="仿宋_GB2312" w:cs="楷体"/>
          <w:spacing w:val="-2"/>
          <w:sz w:val="32"/>
          <w:szCs w:val="32"/>
        </w:rPr>
        <w:t>完成国道</w:t>
      </w:r>
      <w:r>
        <w:rPr>
          <w:rFonts w:eastAsia="仿宋_GB2312"/>
          <w:b/>
          <w:bCs/>
          <w:spacing w:val="-2"/>
          <w:sz w:val="32"/>
          <w:szCs w:val="32"/>
        </w:rPr>
        <w:t>G105</w:t>
      </w:r>
      <w:r>
        <w:rPr>
          <w:rFonts w:hAnsi="楷体" w:eastAsia="仿宋_GB2312" w:cs="楷体"/>
          <w:spacing w:val="-2"/>
          <w:sz w:val="32"/>
          <w:szCs w:val="32"/>
        </w:rPr>
        <w:t>石何营至九州连接线段新建工程</w:t>
      </w:r>
    </w:p>
    <w:p>
      <w:pPr>
        <w:snapToGrid w:val="0"/>
        <w:spacing w:line="560" w:lineRule="exact"/>
        <w:ind w:firstLine="528" w:firstLineChars="200"/>
        <w:rPr>
          <w:rFonts w:eastAsia="仿宋_GB2312" w:cs="仿宋"/>
          <w:sz w:val="32"/>
          <w:szCs w:val="32"/>
        </w:rPr>
      </w:pPr>
      <w:r>
        <w:rPr>
          <w:rFonts w:hAnsi="仿宋" w:eastAsia="仿宋_GB2312" w:cs="仿宋"/>
          <w:spacing w:val="-28"/>
          <w:sz w:val="32"/>
          <w:szCs w:val="32"/>
        </w:rPr>
        <w:t>绩</w:t>
      </w:r>
      <w:r>
        <w:rPr>
          <w:rFonts w:hAnsi="仿宋" w:eastAsia="仿宋_GB2312" w:cs="仿宋"/>
          <w:spacing w:val="-25"/>
          <w:sz w:val="32"/>
          <w:szCs w:val="32"/>
        </w:rPr>
        <w:t>效</w:t>
      </w:r>
      <w:r>
        <w:rPr>
          <w:rFonts w:hAnsi="仿宋" w:eastAsia="仿宋_GB2312" w:cs="仿宋"/>
          <w:spacing w:val="-14"/>
          <w:sz w:val="32"/>
          <w:szCs w:val="32"/>
        </w:rPr>
        <w:t>目标：正确履职尽责，保障</w:t>
      </w:r>
      <w:r>
        <w:rPr>
          <w:rFonts w:eastAsia="仿宋_GB2312"/>
          <w:spacing w:val="-14"/>
          <w:sz w:val="32"/>
          <w:szCs w:val="32"/>
        </w:rPr>
        <w:t>G105</w:t>
      </w:r>
      <w:r>
        <w:rPr>
          <w:rFonts w:hAnsi="仿宋" w:eastAsia="仿宋_GB2312" w:cs="仿宋"/>
          <w:spacing w:val="-14"/>
          <w:sz w:val="32"/>
          <w:szCs w:val="32"/>
        </w:rPr>
        <w:t>国道工程建设资金拨付工</w:t>
      </w:r>
      <w:r>
        <w:rPr>
          <w:rFonts w:hAnsi="仿宋" w:eastAsia="仿宋_GB2312" w:cs="仿宋"/>
          <w:spacing w:val="-26"/>
          <w:sz w:val="32"/>
          <w:szCs w:val="32"/>
        </w:rPr>
        <w:t>作</w:t>
      </w:r>
      <w:r>
        <w:rPr>
          <w:rFonts w:hAnsi="仿宋" w:eastAsia="仿宋_GB2312" w:cs="仿宋"/>
          <w:spacing w:val="-14"/>
          <w:sz w:val="32"/>
          <w:szCs w:val="32"/>
        </w:rPr>
        <w:t>正</w:t>
      </w:r>
      <w:r>
        <w:rPr>
          <w:rFonts w:hAnsi="仿宋" w:eastAsia="仿宋_GB2312" w:cs="仿宋"/>
          <w:spacing w:val="-13"/>
          <w:sz w:val="32"/>
          <w:szCs w:val="32"/>
        </w:rPr>
        <w:t>常开展，协调市交通局推进项目工程建设，确保</w:t>
      </w:r>
      <w:r>
        <w:rPr>
          <w:rFonts w:eastAsia="仿宋_GB2312"/>
          <w:spacing w:val="-13"/>
          <w:sz w:val="32"/>
          <w:szCs w:val="32"/>
        </w:rPr>
        <w:t>G105</w:t>
      </w:r>
      <w:r>
        <w:rPr>
          <w:rFonts w:hAnsi="仿宋" w:eastAsia="仿宋_GB2312" w:cs="仿宋"/>
          <w:spacing w:val="-13"/>
          <w:sz w:val="32"/>
          <w:szCs w:val="32"/>
        </w:rPr>
        <w:t>国道工程</w:t>
      </w:r>
      <w:r>
        <w:rPr>
          <w:rFonts w:hAnsi="仿宋" w:eastAsia="仿宋_GB2312" w:cs="仿宋"/>
          <w:spacing w:val="-14"/>
          <w:sz w:val="32"/>
          <w:szCs w:val="32"/>
        </w:rPr>
        <w:t>顺</w:t>
      </w:r>
      <w:r>
        <w:rPr>
          <w:rFonts w:hAnsi="仿宋" w:eastAsia="仿宋_GB2312" w:cs="仿宋"/>
          <w:spacing w:val="-11"/>
          <w:sz w:val="32"/>
          <w:szCs w:val="32"/>
        </w:rPr>
        <w:t>利实施，提高区域对外出行效率。</w:t>
      </w:r>
    </w:p>
    <w:p>
      <w:pPr>
        <w:snapToGrid w:val="0"/>
        <w:spacing w:line="560" w:lineRule="exact"/>
        <w:ind w:firstLine="528" w:firstLineChars="200"/>
        <w:rPr>
          <w:rFonts w:eastAsia="仿宋_GB2312" w:cs="仿宋"/>
          <w:sz w:val="32"/>
          <w:szCs w:val="32"/>
        </w:rPr>
      </w:pPr>
      <w:r>
        <w:rPr>
          <w:rFonts w:hAnsi="仿宋" w:eastAsia="仿宋_GB2312" w:cs="仿宋"/>
          <w:spacing w:val="-28"/>
          <w:sz w:val="32"/>
          <w:szCs w:val="32"/>
        </w:rPr>
        <w:t>绩</w:t>
      </w:r>
      <w:r>
        <w:rPr>
          <w:rFonts w:hAnsi="仿宋" w:eastAsia="仿宋_GB2312" w:cs="仿宋"/>
          <w:spacing w:val="-25"/>
          <w:sz w:val="32"/>
          <w:szCs w:val="32"/>
        </w:rPr>
        <w:t>效</w:t>
      </w:r>
      <w:r>
        <w:rPr>
          <w:rFonts w:hAnsi="仿宋" w:eastAsia="仿宋_GB2312" w:cs="仿宋"/>
          <w:spacing w:val="-14"/>
          <w:sz w:val="32"/>
          <w:szCs w:val="32"/>
        </w:rPr>
        <w:t>指标：通过项目及时开展，完成国道</w:t>
      </w:r>
      <w:r>
        <w:rPr>
          <w:rFonts w:eastAsia="仿宋_GB2312"/>
          <w:spacing w:val="-14"/>
          <w:sz w:val="32"/>
          <w:szCs w:val="32"/>
        </w:rPr>
        <w:t>G105</w:t>
      </w:r>
      <w:r>
        <w:rPr>
          <w:rFonts w:hAnsi="仿宋" w:eastAsia="仿宋_GB2312" w:cs="仿宋"/>
          <w:spacing w:val="-14"/>
          <w:sz w:val="32"/>
          <w:szCs w:val="32"/>
        </w:rPr>
        <w:t>石何营至九州连</w:t>
      </w:r>
      <w:r>
        <w:rPr>
          <w:rFonts w:hAnsi="仿宋" w:eastAsia="仿宋_GB2312" w:cs="仿宋"/>
          <w:spacing w:val="-28"/>
          <w:sz w:val="32"/>
          <w:szCs w:val="32"/>
        </w:rPr>
        <w:t>接线</w:t>
      </w:r>
      <w:r>
        <w:rPr>
          <w:rFonts w:hAnsi="仿宋" w:eastAsia="仿宋_GB2312" w:cs="仿宋"/>
          <w:spacing w:val="-15"/>
          <w:sz w:val="32"/>
          <w:szCs w:val="32"/>
        </w:rPr>
        <w:t>新</w:t>
      </w:r>
      <w:r>
        <w:rPr>
          <w:rFonts w:hAnsi="仿宋" w:eastAsia="仿宋_GB2312" w:cs="仿宋"/>
          <w:spacing w:val="-14"/>
          <w:sz w:val="32"/>
          <w:szCs w:val="32"/>
        </w:rPr>
        <w:t>建里程</w:t>
      </w:r>
      <w:r>
        <w:rPr>
          <w:rFonts w:eastAsia="仿宋_GB2312"/>
          <w:spacing w:val="-14"/>
          <w:sz w:val="32"/>
          <w:szCs w:val="32"/>
        </w:rPr>
        <w:t>5.39</w:t>
      </w:r>
      <w:r>
        <w:rPr>
          <w:rFonts w:hAnsi="仿宋" w:eastAsia="仿宋_GB2312" w:cs="仿宋"/>
          <w:spacing w:val="-14"/>
          <w:sz w:val="32"/>
          <w:szCs w:val="32"/>
        </w:rPr>
        <w:t>公里，成本控制在</w:t>
      </w:r>
      <w:r>
        <w:rPr>
          <w:rFonts w:eastAsia="仿宋_GB2312"/>
          <w:spacing w:val="-14"/>
          <w:sz w:val="32"/>
          <w:szCs w:val="32"/>
        </w:rPr>
        <w:t>25219</w:t>
      </w:r>
      <w:r>
        <w:rPr>
          <w:rFonts w:hAnsi="仿宋" w:eastAsia="仿宋_GB2312" w:cs="仿宋"/>
          <w:spacing w:val="-14"/>
          <w:sz w:val="32"/>
          <w:szCs w:val="32"/>
        </w:rPr>
        <w:t>万元之内，</w:t>
      </w:r>
      <w:r>
        <w:rPr>
          <w:rFonts w:eastAsia="仿宋_GB2312"/>
          <w:spacing w:val="-14"/>
          <w:sz w:val="32"/>
          <w:szCs w:val="32"/>
        </w:rPr>
        <w:t>2023</w:t>
      </w:r>
      <w:r>
        <w:rPr>
          <w:rFonts w:hAnsi="仿宋" w:eastAsia="仿宋_GB2312" w:cs="仿宋"/>
          <w:spacing w:val="-14"/>
          <w:sz w:val="32"/>
          <w:szCs w:val="32"/>
        </w:rPr>
        <w:t>年内竣</w:t>
      </w:r>
      <w:r>
        <w:rPr>
          <w:rFonts w:hAnsi="仿宋" w:eastAsia="仿宋_GB2312" w:cs="仿宋"/>
          <w:spacing w:val="-18"/>
          <w:sz w:val="32"/>
          <w:szCs w:val="32"/>
        </w:rPr>
        <w:t>工并</w:t>
      </w:r>
      <w:r>
        <w:rPr>
          <w:rFonts w:hAnsi="仿宋" w:eastAsia="仿宋_GB2312" w:cs="仿宋"/>
          <w:spacing w:val="-10"/>
          <w:sz w:val="32"/>
          <w:szCs w:val="32"/>
        </w:rPr>
        <w:t>验</w:t>
      </w:r>
      <w:r>
        <w:rPr>
          <w:rFonts w:hAnsi="仿宋" w:eastAsia="仿宋_GB2312" w:cs="仿宋"/>
          <w:spacing w:val="-9"/>
          <w:sz w:val="32"/>
          <w:szCs w:val="32"/>
        </w:rPr>
        <w:t>收，完善区域路网建设，保障周边居民出行安全。</w:t>
      </w:r>
    </w:p>
    <w:p>
      <w:pPr>
        <w:snapToGrid w:val="0"/>
        <w:spacing w:line="560" w:lineRule="exact"/>
        <w:ind w:firstLine="648" w:firstLineChars="200"/>
        <w:rPr>
          <w:rFonts w:eastAsia="仿宋_GB2312" w:cs="楷体"/>
          <w:sz w:val="32"/>
          <w:szCs w:val="32"/>
        </w:rPr>
      </w:pPr>
      <w:r>
        <w:rPr>
          <w:rFonts w:hint="eastAsia" w:eastAsia="仿宋_GB2312" w:cs="楷体"/>
          <w:spacing w:val="2"/>
          <w:sz w:val="32"/>
          <w:szCs w:val="32"/>
          <w:lang w:eastAsia="zh-CN"/>
        </w:rPr>
        <w:t>4.</w:t>
      </w:r>
      <w:r>
        <w:rPr>
          <w:rFonts w:hAnsi="楷体" w:eastAsia="仿宋_GB2312" w:cs="楷体"/>
          <w:spacing w:val="2"/>
          <w:sz w:val="32"/>
          <w:szCs w:val="32"/>
        </w:rPr>
        <w:t>完成临空经济区管委会办公</w:t>
      </w:r>
      <w:r>
        <w:rPr>
          <w:rFonts w:hAnsi="楷体" w:eastAsia="仿宋_GB2312" w:cs="楷体"/>
          <w:spacing w:val="1"/>
          <w:sz w:val="32"/>
          <w:szCs w:val="32"/>
        </w:rPr>
        <w:t>设备采购工作</w:t>
      </w:r>
    </w:p>
    <w:p>
      <w:pPr>
        <w:snapToGrid w:val="0"/>
        <w:spacing w:line="560" w:lineRule="exact"/>
        <w:ind w:firstLine="636" w:firstLineChars="200"/>
        <w:rPr>
          <w:rFonts w:eastAsia="仿宋_GB2312" w:cs="仿宋"/>
          <w:sz w:val="32"/>
          <w:szCs w:val="32"/>
        </w:rPr>
      </w:pPr>
      <w:r>
        <w:rPr>
          <w:rFonts w:hAnsi="仿宋" w:eastAsia="仿宋_GB2312" w:cs="仿宋"/>
          <w:spacing w:val="-1"/>
          <w:sz w:val="32"/>
          <w:szCs w:val="32"/>
        </w:rPr>
        <w:t>绩效目标</w:t>
      </w:r>
      <w:r>
        <w:rPr>
          <w:rFonts w:hAnsi="仿宋" w:eastAsia="仿宋_GB2312" w:cs="仿宋"/>
          <w:sz w:val="32"/>
          <w:szCs w:val="32"/>
        </w:rPr>
        <w:t>：保障北京大兴国际机场临空经济区</w:t>
      </w:r>
      <w:r>
        <w:rPr>
          <w:rFonts w:eastAsia="仿宋_GB2312" w:cs="仿宋"/>
          <w:sz w:val="32"/>
          <w:szCs w:val="32"/>
        </w:rPr>
        <w:t>(</w:t>
      </w:r>
      <w:r>
        <w:rPr>
          <w:rFonts w:hAnsi="仿宋" w:eastAsia="仿宋_GB2312" w:cs="仿宋"/>
          <w:sz w:val="32"/>
          <w:szCs w:val="32"/>
        </w:rPr>
        <w:t>廊坊</w:t>
      </w:r>
      <w:r>
        <w:rPr>
          <w:rFonts w:eastAsia="仿宋_GB2312" w:cs="仿宋"/>
          <w:sz w:val="32"/>
          <w:szCs w:val="32"/>
        </w:rPr>
        <w:t>)</w:t>
      </w:r>
      <w:r>
        <w:rPr>
          <w:rFonts w:hAnsi="仿宋" w:eastAsia="仿宋_GB2312" w:cs="仿宋"/>
          <w:sz w:val="32"/>
          <w:szCs w:val="32"/>
        </w:rPr>
        <w:t>管理委</w:t>
      </w:r>
      <w:r>
        <w:rPr>
          <w:rFonts w:hAnsi="仿宋" w:eastAsia="仿宋_GB2312" w:cs="仿宋"/>
          <w:spacing w:val="-5"/>
          <w:sz w:val="32"/>
          <w:szCs w:val="32"/>
        </w:rPr>
        <w:t>员会正常办公需求，需采购打印机、扫描仪等办公电子设备满足</w:t>
      </w:r>
      <w:r>
        <w:rPr>
          <w:rFonts w:hAnsi="仿宋" w:eastAsia="仿宋_GB2312" w:cs="仿宋"/>
          <w:spacing w:val="-2"/>
          <w:sz w:val="32"/>
          <w:szCs w:val="32"/>
        </w:rPr>
        <w:t>各</w:t>
      </w:r>
      <w:r>
        <w:rPr>
          <w:rFonts w:hAnsi="仿宋" w:eastAsia="仿宋_GB2312" w:cs="仿宋"/>
          <w:spacing w:val="-15"/>
          <w:sz w:val="32"/>
          <w:szCs w:val="32"/>
        </w:rPr>
        <w:t>部</w:t>
      </w:r>
      <w:r>
        <w:rPr>
          <w:rFonts w:hAnsi="仿宋" w:eastAsia="仿宋_GB2312" w:cs="仿宋"/>
          <w:spacing w:val="-13"/>
          <w:sz w:val="32"/>
          <w:szCs w:val="32"/>
        </w:rPr>
        <w:t>室日常办公所需。</w:t>
      </w:r>
    </w:p>
    <w:p>
      <w:pPr>
        <w:snapToGrid w:val="0"/>
        <w:spacing w:line="560" w:lineRule="exact"/>
        <w:ind w:firstLine="560" w:firstLineChars="200"/>
        <w:rPr>
          <w:rFonts w:eastAsia="仿宋_GB2312" w:cs="仿宋"/>
          <w:sz w:val="32"/>
          <w:szCs w:val="32"/>
        </w:rPr>
      </w:pPr>
      <w:r>
        <w:rPr>
          <w:rFonts w:hAnsi="仿宋" w:eastAsia="仿宋_GB2312" w:cs="仿宋"/>
          <w:spacing w:val="-20"/>
          <w:sz w:val="32"/>
          <w:szCs w:val="32"/>
        </w:rPr>
        <w:t>绩</w:t>
      </w:r>
      <w:r>
        <w:rPr>
          <w:rFonts w:hAnsi="仿宋" w:eastAsia="仿宋_GB2312" w:cs="仿宋"/>
          <w:spacing w:val="-12"/>
          <w:sz w:val="32"/>
          <w:szCs w:val="32"/>
        </w:rPr>
        <w:t>效指标：</w:t>
      </w:r>
      <w:r>
        <w:rPr>
          <w:rFonts w:eastAsia="仿宋_GB2312"/>
          <w:spacing w:val="-12"/>
          <w:sz w:val="32"/>
          <w:szCs w:val="32"/>
        </w:rPr>
        <w:t>2023</w:t>
      </w:r>
      <w:r>
        <w:rPr>
          <w:rFonts w:hAnsi="仿宋" w:eastAsia="仿宋_GB2312" w:cs="仿宋"/>
          <w:spacing w:val="-12"/>
          <w:sz w:val="32"/>
          <w:szCs w:val="32"/>
        </w:rPr>
        <w:t>年采购国产</w:t>
      </w:r>
      <w:r>
        <w:rPr>
          <w:rFonts w:eastAsia="仿宋_GB2312"/>
          <w:spacing w:val="-12"/>
          <w:sz w:val="32"/>
          <w:szCs w:val="32"/>
        </w:rPr>
        <w:t>A4</w:t>
      </w:r>
      <w:r>
        <w:rPr>
          <w:rFonts w:hAnsi="仿宋" w:eastAsia="仿宋_GB2312" w:cs="仿宋"/>
          <w:spacing w:val="-12"/>
          <w:sz w:val="32"/>
          <w:szCs w:val="32"/>
        </w:rPr>
        <w:t>打印机</w:t>
      </w:r>
      <w:r>
        <w:rPr>
          <w:rFonts w:eastAsia="仿宋_GB2312"/>
          <w:spacing w:val="-12"/>
          <w:sz w:val="32"/>
          <w:szCs w:val="32"/>
        </w:rPr>
        <w:t>24</w:t>
      </w:r>
      <w:r>
        <w:rPr>
          <w:rFonts w:hAnsi="仿宋" w:eastAsia="仿宋_GB2312" w:cs="仿宋"/>
          <w:spacing w:val="-12"/>
          <w:sz w:val="32"/>
          <w:szCs w:val="32"/>
        </w:rPr>
        <w:t>台、国产</w:t>
      </w:r>
      <w:r>
        <w:rPr>
          <w:rFonts w:eastAsia="仿宋_GB2312"/>
          <w:spacing w:val="-12"/>
          <w:sz w:val="32"/>
          <w:szCs w:val="32"/>
        </w:rPr>
        <w:t>A3</w:t>
      </w:r>
      <w:r>
        <w:rPr>
          <w:rFonts w:hAnsi="仿宋" w:eastAsia="仿宋_GB2312" w:cs="仿宋"/>
          <w:spacing w:val="-12"/>
          <w:sz w:val="32"/>
          <w:szCs w:val="32"/>
        </w:rPr>
        <w:t>打印机</w:t>
      </w:r>
      <w:r>
        <w:rPr>
          <w:rFonts w:eastAsia="仿宋_GB2312"/>
          <w:spacing w:val="-16"/>
          <w:sz w:val="32"/>
          <w:szCs w:val="32"/>
        </w:rPr>
        <w:t>6</w:t>
      </w:r>
      <w:r>
        <w:rPr>
          <w:rFonts w:hAnsi="仿宋" w:eastAsia="仿宋_GB2312" w:cs="仿宋"/>
          <w:spacing w:val="-16"/>
          <w:sz w:val="32"/>
          <w:szCs w:val="32"/>
        </w:rPr>
        <w:t>台</w:t>
      </w:r>
      <w:r>
        <w:rPr>
          <w:rFonts w:hAnsi="仿宋" w:eastAsia="仿宋_GB2312" w:cs="仿宋"/>
          <w:spacing w:val="-8"/>
          <w:sz w:val="32"/>
          <w:szCs w:val="32"/>
        </w:rPr>
        <w:t>、国产扫描备</w:t>
      </w:r>
      <w:r>
        <w:rPr>
          <w:rFonts w:eastAsia="仿宋_GB2312"/>
          <w:spacing w:val="-8"/>
          <w:sz w:val="32"/>
          <w:szCs w:val="32"/>
        </w:rPr>
        <w:t>2</w:t>
      </w:r>
      <w:r>
        <w:rPr>
          <w:rFonts w:hAnsi="仿宋" w:eastAsia="仿宋_GB2312" w:cs="仿宋"/>
          <w:spacing w:val="-8"/>
          <w:sz w:val="32"/>
          <w:szCs w:val="32"/>
        </w:rPr>
        <w:t>台，设备质量合格率</w:t>
      </w:r>
      <w:r>
        <w:rPr>
          <w:rFonts w:eastAsia="仿宋_GB2312"/>
          <w:spacing w:val="-8"/>
          <w:sz w:val="32"/>
          <w:szCs w:val="32"/>
        </w:rPr>
        <w:t>100%</w:t>
      </w:r>
      <w:r>
        <w:rPr>
          <w:rFonts w:hAnsi="仿宋" w:eastAsia="仿宋_GB2312" w:cs="仿宋"/>
          <w:spacing w:val="-8"/>
          <w:sz w:val="32"/>
          <w:szCs w:val="32"/>
        </w:rPr>
        <w:t>，设备采购</w:t>
      </w:r>
      <w:r>
        <w:rPr>
          <w:rFonts w:eastAsia="仿宋_GB2312"/>
          <w:spacing w:val="-8"/>
          <w:sz w:val="32"/>
          <w:szCs w:val="32"/>
        </w:rPr>
        <w:t>12</w:t>
      </w:r>
      <w:r>
        <w:rPr>
          <w:rFonts w:hAnsi="仿宋" w:eastAsia="仿宋_GB2312" w:cs="仿宋"/>
          <w:spacing w:val="-8"/>
          <w:sz w:val="32"/>
          <w:szCs w:val="32"/>
        </w:rPr>
        <w:t>月底</w:t>
      </w:r>
      <w:r>
        <w:rPr>
          <w:rFonts w:hAnsi="仿宋" w:eastAsia="仿宋_GB2312" w:cs="仿宋"/>
          <w:spacing w:val="-23"/>
          <w:sz w:val="32"/>
          <w:szCs w:val="32"/>
        </w:rPr>
        <w:t>之</w:t>
      </w:r>
      <w:r>
        <w:rPr>
          <w:rFonts w:hAnsi="仿宋" w:eastAsia="仿宋_GB2312" w:cs="仿宋"/>
          <w:spacing w:val="-13"/>
          <w:sz w:val="32"/>
          <w:szCs w:val="32"/>
        </w:rPr>
        <w:t>前完成，成本控制在</w:t>
      </w:r>
      <w:r>
        <w:rPr>
          <w:rFonts w:eastAsia="仿宋_GB2312"/>
          <w:spacing w:val="-13"/>
          <w:sz w:val="32"/>
          <w:szCs w:val="32"/>
        </w:rPr>
        <w:t>24.31</w:t>
      </w:r>
      <w:r>
        <w:rPr>
          <w:rFonts w:hAnsi="仿宋" w:eastAsia="仿宋_GB2312" w:cs="仿宋"/>
          <w:spacing w:val="-13"/>
          <w:sz w:val="32"/>
          <w:szCs w:val="32"/>
        </w:rPr>
        <w:t>万元以内，保障北临空经济区管理委员</w:t>
      </w:r>
      <w:r>
        <w:rPr>
          <w:rFonts w:hAnsi="仿宋" w:eastAsia="仿宋_GB2312" w:cs="仿宋"/>
          <w:spacing w:val="-14"/>
          <w:sz w:val="32"/>
          <w:szCs w:val="32"/>
        </w:rPr>
        <w:t>会正常办公需求。</w:t>
      </w:r>
    </w:p>
    <w:p>
      <w:pPr>
        <w:snapToGrid w:val="0"/>
        <w:spacing w:line="560" w:lineRule="exact"/>
        <w:ind w:firstLine="648" w:firstLineChars="200"/>
        <w:rPr>
          <w:rFonts w:eastAsia="仿宋_GB2312" w:cs="楷体"/>
          <w:sz w:val="32"/>
          <w:szCs w:val="32"/>
        </w:rPr>
      </w:pPr>
      <w:r>
        <w:rPr>
          <w:rFonts w:hint="eastAsia" w:eastAsia="仿宋_GB2312" w:cs="楷体"/>
          <w:spacing w:val="2"/>
          <w:sz w:val="32"/>
          <w:szCs w:val="32"/>
          <w:lang w:eastAsia="zh-CN"/>
        </w:rPr>
        <w:t>5.</w:t>
      </w:r>
      <w:r>
        <w:rPr>
          <w:rFonts w:hAnsi="楷体" w:eastAsia="仿宋_GB2312" w:cs="楷体"/>
          <w:spacing w:val="2"/>
          <w:sz w:val="32"/>
          <w:szCs w:val="32"/>
        </w:rPr>
        <w:t>完成临空经济区管委会办公</w:t>
      </w:r>
      <w:r>
        <w:rPr>
          <w:rFonts w:hAnsi="楷体" w:eastAsia="仿宋_GB2312" w:cs="楷体"/>
          <w:spacing w:val="1"/>
          <w:sz w:val="32"/>
          <w:szCs w:val="32"/>
        </w:rPr>
        <w:t>用品采购工作</w:t>
      </w:r>
    </w:p>
    <w:p>
      <w:pPr>
        <w:snapToGrid w:val="0"/>
        <w:spacing w:line="560" w:lineRule="exact"/>
        <w:ind w:firstLine="636" w:firstLineChars="200"/>
        <w:rPr>
          <w:rFonts w:eastAsia="仿宋_GB2312" w:cs="仿宋"/>
          <w:sz w:val="32"/>
          <w:szCs w:val="32"/>
        </w:rPr>
      </w:pPr>
      <w:r>
        <w:rPr>
          <w:rFonts w:hAnsi="仿宋" w:eastAsia="仿宋_GB2312" w:cs="仿宋"/>
          <w:spacing w:val="-1"/>
          <w:sz w:val="32"/>
          <w:szCs w:val="32"/>
        </w:rPr>
        <w:t>绩效</w:t>
      </w:r>
      <w:r>
        <w:rPr>
          <w:rFonts w:hAnsi="仿宋" w:eastAsia="仿宋_GB2312" w:cs="仿宋"/>
          <w:sz w:val="32"/>
          <w:szCs w:val="32"/>
        </w:rPr>
        <w:t>目标：保障北京大兴国际机场临空经济区</w:t>
      </w:r>
      <w:r>
        <w:rPr>
          <w:rFonts w:eastAsia="仿宋_GB2312" w:cs="仿宋"/>
          <w:sz w:val="32"/>
          <w:szCs w:val="32"/>
        </w:rPr>
        <w:t>(</w:t>
      </w:r>
      <w:r>
        <w:rPr>
          <w:rFonts w:hAnsi="仿宋" w:eastAsia="仿宋_GB2312" w:cs="仿宋"/>
          <w:sz w:val="32"/>
          <w:szCs w:val="32"/>
        </w:rPr>
        <w:t>廊坊</w:t>
      </w:r>
      <w:r>
        <w:rPr>
          <w:rFonts w:eastAsia="仿宋_GB2312" w:cs="仿宋"/>
          <w:sz w:val="32"/>
          <w:szCs w:val="32"/>
        </w:rPr>
        <w:t>)</w:t>
      </w:r>
      <w:r>
        <w:rPr>
          <w:rFonts w:hAnsi="仿宋" w:eastAsia="仿宋_GB2312" w:cs="仿宋"/>
          <w:sz w:val="32"/>
          <w:szCs w:val="32"/>
        </w:rPr>
        <w:t>管理委</w:t>
      </w:r>
      <w:r>
        <w:rPr>
          <w:rFonts w:hAnsi="仿宋" w:eastAsia="仿宋_GB2312" w:cs="仿宋"/>
          <w:spacing w:val="-17"/>
          <w:sz w:val="32"/>
          <w:szCs w:val="32"/>
        </w:rPr>
        <w:t>员</w:t>
      </w:r>
      <w:r>
        <w:rPr>
          <w:rFonts w:hAnsi="仿宋" w:eastAsia="仿宋_GB2312" w:cs="仿宋"/>
          <w:spacing w:val="-11"/>
          <w:sz w:val="32"/>
          <w:szCs w:val="32"/>
        </w:rPr>
        <w:t>会正常办公需求，满足各部室日常办公所需。</w:t>
      </w:r>
    </w:p>
    <w:p>
      <w:pPr>
        <w:snapToGrid w:val="0"/>
        <w:spacing w:line="560" w:lineRule="exact"/>
        <w:ind w:firstLine="464" w:firstLineChars="200"/>
        <w:rPr>
          <w:rFonts w:eastAsia="仿宋_GB2312" w:cs="仿宋"/>
          <w:sz w:val="32"/>
          <w:szCs w:val="32"/>
        </w:rPr>
      </w:pPr>
      <w:r>
        <w:rPr>
          <w:rFonts w:hAnsi="仿宋" w:eastAsia="仿宋_GB2312" w:cs="仿宋"/>
          <w:spacing w:val="-44"/>
          <w:sz w:val="32"/>
          <w:szCs w:val="32"/>
        </w:rPr>
        <w:t>绩</w:t>
      </w:r>
      <w:r>
        <w:rPr>
          <w:rFonts w:hAnsi="仿宋" w:eastAsia="仿宋_GB2312" w:cs="仿宋"/>
          <w:spacing w:val="-23"/>
          <w:sz w:val="32"/>
          <w:szCs w:val="32"/>
        </w:rPr>
        <w:t>效</w:t>
      </w:r>
      <w:r>
        <w:rPr>
          <w:rFonts w:hAnsi="仿宋" w:eastAsia="仿宋_GB2312" w:cs="仿宋"/>
          <w:spacing w:val="-22"/>
          <w:sz w:val="32"/>
          <w:szCs w:val="32"/>
        </w:rPr>
        <w:t>指标：</w:t>
      </w:r>
      <w:r>
        <w:rPr>
          <w:rFonts w:eastAsia="仿宋_GB2312"/>
          <w:spacing w:val="-22"/>
          <w:sz w:val="32"/>
          <w:szCs w:val="32"/>
        </w:rPr>
        <w:t>2023</w:t>
      </w:r>
      <w:r>
        <w:rPr>
          <w:rFonts w:hAnsi="仿宋" w:eastAsia="仿宋_GB2312" w:cs="仿宋"/>
          <w:spacing w:val="-22"/>
          <w:sz w:val="32"/>
          <w:szCs w:val="32"/>
        </w:rPr>
        <w:t>年通过项目及时开展，采购</w:t>
      </w:r>
      <w:r>
        <w:rPr>
          <w:rFonts w:eastAsia="仿宋_GB2312"/>
          <w:spacing w:val="-22"/>
          <w:sz w:val="32"/>
          <w:szCs w:val="32"/>
        </w:rPr>
        <w:t>A4</w:t>
      </w:r>
      <w:r>
        <w:rPr>
          <w:rFonts w:hAnsi="仿宋" w:eastAsia="仿宋_GB2312" w:cs="仿宋"/>
          <w:spacing w:val="-22"/>
          <w:sz w:val="32"/>
          <w:szCs w:val="32"/>
        </w:rPr>
        <w:t>纸、</w:t>
      </w:r>
      <w:r>
        <w:rPr>
          <w:rFonts w:eastAsia="仿宋_GB2312"/>
          <w:spacing w:val="-22"/>
          <w:sz w:val="32"/>
          <w:szCs w:val="32"/>
        </w:rPr>
        <w:t>A3</w:t>
      </w:r>
      <w:r>
        <w:rPr>
          <w:rFonts w:hAnsi="仿宋" w:eastAsia="仿宋_GB2312" w:cs="仿宋"/>
          <w:spacing w:val="-22"/>
          <w:sz w:val="32"/>
          <w:szCs w:val="32"/>
        </w:rPr>
        <w:t>纸、中</w:t>
      </w:r>
      <w:r>
        <w:rPr>
          <w:rFonts w:hAnsi="仿宋" w:eastAsia="仿宋_GB2312" w:cs="仿宋"/>
          <w:spacing w:val="-48"/>
          <w:sz w:val="32"/>
          <w:szCs w:val="32"/>
        </w:rPr>
        <w:t>性</w:t>
      </w:r>
      <w:r>
        <w:rPr>
          <w:rFonts w:hAnsi="仿宋" w:eastAsia="仿宋_GB2312" w:cs="仿宋"/>
          <w:spacing w:val="-25"/>
          <w:sz w:val="32"/>
          <w:szCs w:val="32"/>
        </w:rPr>
        <w:t>笔</w:t>
      </w:r>
      <w:r>
        <w:rPr>
          <w:rFonts w:hAnsi="仿宋" w:eastAsia="仿宋_GB2312" w:cs="仿宋"/>
          <w:spacing w:val="-24"/>
          <w:sz w:val="32"/>
          <w:szCs w:val="32"/>
        </w:rPr>
        <w:t>、印台、订书钉、曲别针、起钉器、强力夹、文件盒等办公用品，</w:t>
      </w:r>
      <w:r>
        <w:rPr>
          <w:rFonts w:hAnsi="仿宋" w:eastAsia="仿宋_GB2312" w:cs="仿宋"/>
          <w:spacing w:val="-27"/>
          <w:sz w:val="32"/>
          <w:szCs w:val="32"/>
        </w:rPr>
        <w:t>办</w:t>
      </w:r>
      <w:r>
        <w:rPr>
          <w:rFonts w:hAnsi="仿宋" w:eastAsia="仿宋_GB2312" w:cs="仿宋"/>
          <w:spacing w:val="-18"/>
          <w:sz w:val="32"/>
          <w:szCs w:val="32"/>
        </w:rPr>
        <w:t>公用品合格率</w:t>
      </w:r>
      <w:r>
        <w:rPr>
          <w:rFonts w:eastAsia="仿宋_GB2312"/>
          <w:spacing w:val="-18"/>
          <w:sz w:val="32"/>
          <w:szCs w:val="32"/>
        </w:rPr>
        <w:t>100%</w:t>
      </w:r>
      <w:r>
        <w:rPr>
          <w:rFonts w:hAnsi="仿宋" w:eastAsia="仿宋_GB2312" w:cs="仿宋"/>
          <w:spacing w:val="-18"/>
          <w:sz w:val="32"/>
          <w:szCs w:val="32"/>
        </w:rPr>
        <w:t>，在</w:t>
      </w:r>
      <w:r>
        <w:rPr>
          <w:rFonts w:eastAsia="仿宋_GB2312"/>
          <w:spacing w:val="-18"/>
          <w:sz w:val="32"/>
          <w:szCs w:val="32"/>
        </w:rPr>
        <w:t>2023</w:t>
      </w:r>
      <w:r>
        <w:rPr>
          <w:rFonts w:hAnsi="仿宋" w:eastAsia="仿宋_GB2312" w:cs="仿宋"/>
          <w:spacing w:val="-18"/>
          <w:sz w:val="32"/>
          <w:szCs w:val="32"/>
        </w:rPr>
        <w:t>年</w:t>
      </w:r>
      <w:r>
        <w:rPr>
          <w:rFonts w:eastAsia="仿宋_GB2312"/>
          <w:spacing w:val="-18"/>
          <w:sz w:val="32"/>
          <w:szCs w:val="32"/>
        </w:rPr>
        <w:t>12</w:t>
      </w:r>
      <w:r>
        <w:rPr>
          <w:rFonts w:hAnsi="仿宋" w:eastAsia="仿宋_GB2312" w:cs="仿宋"/>
          <w:spacing w:val="-18"/>
          <w:sz w:val="32"/>
          <w:szCs w:val="32"/>
        </w:rPr>
        <w:t>月底之前完成，成本控制在</w:t>
      </w:r>
      <w:r>
        <w:rPr>
          <w:rFonts w:eastAsia="仿宋_GB2312"/>
          <w:spacing w:val="-18"/>
          <w:sz w:val="32"/>
          <w:szCs w:val="32"/>
        </w:rPr>
        <w:t>80</w:t>
      </w:r>
      <w:r>
        <w:rPr>
          <w:rFonts w:hAnsi="仿宋" w:eastAsia="仿宋_GB2312" w:cs="仿宋"/>
          <w:spacing w:val="-10"/>
          <w:sz w:val="32"/>
          <w:szCs w:val="32"/>
        </w:rPr>
        <w:t>万</w:t>
      </w:r>
      <w:r>
        <w:rPr>
          <w:rFonts w:hAnsi="仿宋" w:eastAsia="仿宋_GB2312" w:cs="仿宋"/>
          <w:spacing w:val="-7"/>
          <w:sz w:val="32"/>
          <w:szCs w:val="32"/>
        </w:rPr>
        <w:t>元</w:t>
      </w:r>
      <w:r>
        <w:rPr>
          <w:rFonts w:hAnsi="仿宋" w:eastAsia="仿宋_GB2312" w:cs="仿宋"/>
          <w:spacing w:val="-5"/>
          <w:sz w:val="32"/>
          <w:szCs w:val="32"/>
        </w:rPr>
        <w:t>之内，保障北京大兴国际机场临空经济区</w:t>
      </w:r>
      <w:r>
        <w:rPr>
          <w:rFonts w:eastAsia="仿宋_GB2312" w:cs="仿宋"/>
          <w:spacing w:val="-5"/>
          <w:sz w:val="32"/>
          <w:szCs w:val="32"/>
        </w:rPr>
        <w:t>(</w:t>
      </w:r>
      <w:r>
        <w:rPr>
          <w:rFonts w:hAnsi="仿宋" w:eastAsia="仿宋_GB2312" w:cs="仿宋"/>
          <w:spacing w:val="-5"/>
          <w:sz w:val="32"/>
          <w:szCs w:val="32"/>
        </w:rPr>
        <w:t>廊坊</w:t>
      </w:r>
      <w:r>
        <w:rPr>
          <w:rFonts w:eastAsia="仿宋_GB2312" w:cs="仿宋"/>
          <w:spacing w:val="-5"/>
          <w:sz w:val="32"/>
          <w:szCs w:val="32"/>
        </w:rPr>
        <w:t>)</w:t>
      </w:r>
      <w:r>
        <w:rPr>
          <w:rFonts w:hAnsi="仿宋" w:eastAsia="仿宋_GB2312" w:cs="仿宋"/>
          <w:spacing w:val="-5"/>
          <w:sz w:val="32"/>
          <w:szCs w:val="32"/>
        </w:rPr>
        <w:t>管理委员会日</w:t>
      </w:r>
      <w:r>
        <w:rPr>
          <w:rFonts w:hAnsi="仿宋" w:eastAsia="仿宋_GB2312" w:cs="仿宋"/>
          <w:spacing w:val="-14"/>
          <w:sz w:val="32"/>
          <w:szCs w:val="32"/>
        </w:rPr>
        <w:t>常办公用品使用所需。</w:t>
      </w:r>
    </w:p>
    <w:p>
      <w:pPr>
        <w:snapToGrid w:val="0"/>
        <w:spacing w:line="560" w:lineRule="exact"/>
        <w:ind w:firstLine="660" w:firstLineChars="200"/>
        <w:rPr>
          <w:rFonts w:eastAsia="仿宋_GB2312" w:cs="楷体"/>
          <w:sz w:val="32"/>
          <w:szCs w:val="32"/>
        </w:rPr>
      </w:pPr>
      <w:r>
        <w:rPr>
          <w:rFonts w:hint="eastAsia" w:eastAsia="仿宋_GB2312" w:cs="楷体"/>
          <w:spacing w:val="5"/>
          <w:sz w:val="32"/>
          <w:szCs w:val="32"/>
          <w:lang w:eastAsia="zh-CN"/>
        </w:rPr>
        <w:t>6.</w:t>
      </w:r>
      <w:r>
        <w:rPr>
          <w:rFonts w:hAnsi="楷体" w:eastAsia="仿宋_GB2312" w:cs="楷体"/>
          <w:spacing w:val="5"/>
          <w:sz w:val="32"/>
          <w:szCs w:val="32"/>
        </w:rPr>
        <w:t>完成林业有害生物防治工</w:t>
      </w:r>
      <w:r>
        <w:rPr>
          <w:rFonts w:hAnsi="楷体" w:eastAsia="仿宋_GB2312" w:cs="楷体"/>
          <w:spacing w:val="2"/>
          <w:sz w:val="32"/>
          <w:szCs w:val="32"/>
        </w:rPr>
        <w:t>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绩效目标：开展本项目主要防控春尺蠖、美国白蛾等重大林</w:t>
      </w:r>
      <w:r>
        <w:rPr>
          <w:rFonts w:hAnsi="仿宋" w:eastAsia="仿宋_GB2312" w:cs="仿宋"/>
          <w:spacing w:val="-3"/>
          <w:sz w:val="32"/>
          <w:szCs w:val="32"/>
        </w:rPr>
        <w:t>业</w:t>
      </w:r>
      <w:r>
        <w:rPr>
          <w:rFonts w:hAnsi="仿宋" w:eastAsia="仿宋_GB2312" w:cs="仿宋"/>
          <w:spacing w:val="-5"/>
          <w:sz w:val="32"/>
          <w:szCs w:val="32"/>
        </w:rPr>
        <w:t>有害生物对我市林木造成危害，达到保护绿化美化成果，维护生</w:t>
      </w:r>
      <w:r>
        <w:rPr>
          <w:rFonts w:hAnsi="仿宋" w:eastAsia="仿宋_GB2312" w:cs="仿宋"/>
          <w:spacing w:val="-2"/>
          <w:sz w:val="32"/>
          <w:szCs w:val="32"/>
        </w:rPr>
        <w:t>态</w:t>
      </w:r>
      <w:r>
        <w:rPr>
          <w:rFonts w:hAnsi="仿宋" w:eastAsia="仿宋_GB2312" w:cs="仿宋"/>
          <w:spacing w:val="-26"/>
          <w:sz w:val="32"/>
          <w:szCs w:val="32"/>
        </w:rPr>
        <w:t>环</w:t>
      </w:r>
      <w:r>
        <w:rPr>
          <w:rFonts w:hAnsi="仿宋" w:eastAsia="仿宋_GB2312" w:cs="仿宋"/>
          <w:spacing w:val="-17"/>
          <w:sz w:val="32"/>
          <w:szCs w:val="32"/>
        </w:rPr>
        <w:t>境，促进生态文明建设的目的，取得经济、生态和社会多重效益。</w:t>
      </w:r>
    </w:p>
    <w:p>
      <w:pPr>
        <w:snapToGrid w:val="0"/>
        <w:spacing w:line="560" w:lineRule="exact"/>
        <w:ind w:firstLine="620" w:firstLineChars="200"/>
        <w:rPr>
          <w:rFonts w:eastAsia="仿宋_GB2312" w:cs="仿宋"/>
          <w:sz w:val="32"/>
          <w:szCs w:val="32"/>
        </w:rPr>
      </w:pPr>
      <w:r>
        <w:rPr>
          <w:rFonts w:hAnsi="仿宋" w:eastAsia="仿宋_GB2312" w:cs="仿宋"/>
          <w:spacing w:val="-5"/>
          <w:sz w:val="32"/>
          <w:szCs w:val="32"/>
        </w:rPr>
        <w:t>绩效指标：完成</w:t>
      </w:r>
      <w:r>
        <w:rPr>
          <w:rFonts w:eastAsia="仿宋_GB2312"/>
          <w:spacing w:val="-5"/>
          <w:sz w:val="32"/>
          <w:szCs w:val="32"/>
        </w:rPr>
        <w:t>2345</w:t>
      </w:r>
      <w:r>
        <w:rPr>
          <w:rFonts w:hAnsi="仿宋" w:eastAsia="仿宋_GB2312" w:cs="仿宋"/>
          <w:spacing w:val="-5"/>
          <w:sz w:val="32"/>
          <w:szCs w:val="32"/>
        </w:rPr>
        <w:t>公顷的林地面积治理，防治次数</w:t>
      </w:r>
      <w:r>
        <w:rPr>
          <w:rFonts w:eastAsia="仿宋_GB2312"/>
          <w:spacing w:val="-5"/>
          <w:sz w:val="32"/>
          <w:szCs w:val="32"/>
        </w:rPr>
        <w:t>3</w:t>
      </w:r>
      <w:r>
        <w:rPr>
          <w:rFonts w:hAnsi="仿宋" w:eastAsia="仿宋_GB2312" w:cs="仿宋"/>
          <w:spacing w:val="-5"/>
          <w:sz w:val="32"/>
          <w:szCs w:val="32"/>
        </w:rPr>
        <w:t>次</w:t>
      </w:r>
      <w:r>
        <w:rPr>
          <w:rFonts w:hAnsi="仿宋" w:eastAsia="仿宋_GB2312" w:cs="仿宋"/>
          <w:spacing w:val="-4"/>
          <w:sz w:val="32"/>
          <w:szCs w:val="32"/>
        </w:rPr>
        <w:t>以</w:t>
      </w:r>
      <w:r>
        <w:rPr>
          <w:rFonts w:hAnsi="仿宋" w:eastAsia="仿宋_GB2312" w:cs="仿宋"/>
          <w:spacing w:val="-24"/>
          <w:sz w:val="32"/>
          <w:szCs w:val="32"/>
        </w:rPr>
        <w:t>上</w:t>
      </w:r>
      <w:r>
        <w:rPr>
          <w:rFonts w:hAnsi="仿宋" w:eastAsia="仿宋_GB2312" w:cs="仿宋"/>
          <w:spacing w:val="-21"/>
          <w:sz w:val="32"/>
          <w:szCs w:val="32"/>
        </w:rPr>
        <w:t>，</w:t>
      </w:r>
      <w:r>
        <w:rPr>
          <w:rFonts w:hAnsi="仿宋" w:eastAsia="仿宋_GB2312" w:cs="仿宋"/>
          <w:spacing w:val="-12"/>
          <w:sz w:val="32"/>
          <w:szCs w:val="32"/>
        </w:rPr>
        <w:t>按验收要求达到</w:t>
      </w:r>
      <w:r>
        <w:rPr>
          <w:rFonts w:eastAsia="仿宋_GB2312"/>
          <w:spacing w:val="-12"/>
          <w:sz w:val="32"/>
          <w:szCs w:val="32"/>
        </w:rPr>
        <w:t>100%</w:t>
      </w:r>
      <w:r>
        <w:rPr>
          <w:rFonts w:hAnsi="仿宋" w:eastAsia="仿宋_GB2312" w:cs="仿宋"/>
          <w:spacing w:val="-12"/>
          <w:sz w:val="32"/>
          <w:szCs w:val="32"/>
        </w:rPr>
        <w:t>验收合格有效控制林业有害生物的危害及</w:t>
      </w:r>
      <w:r>
        <w:rPr>
          <w:rFonts w:hAnsi="仿宋" w:eastAsia="仿宋_GB2312" w:cs="仿宋"/>
          <w:spacing w:val="-17"/>
          <w:sz w:val="32"/>
          <w:szCs w:val="32"/>
        </w:rPr>
        <w:t>蔓</w:t>
      </w:r>
      <w:r>
        <w:rPr>
          <w:rFonts w:hAnsi="仿宋" w:eastAsia="仿宋_GB2312" w:cs="仿宋"/>
          <w:spacing w:val="-10"/>
          <w:sz w:val="32"/>
          <w:szCs w:val="32"/>
        </w:rPr>
        <w:t>延，减少病虫对树木产生的危害，保护生态环境。</w:t>
      </w:r>
    </w:p>
    <w:p>
      <w:pPr>
        <w:snapToGrid w:val="0"/>
        <w:spacing w:line="560" w:lineRule="exact"/>
        <w:ind w:firstLine="688" w:firstLineChars="200"/>
        <w:rPr>
          <w:rFonts w:eastAsia="仿宋_GB2312" w:cs="楷体"/>
          <w:sz w:val="32"/>
          <w:szCs w:val="32"/>
        </w:rPr>
      </w:pPr>
      <w:r>
        <w:rPr>
          <w:rFonts w:hint="eastAsia" w:eastAsia="仿宋_GB2312" w:cs="楷体"/>
          <w:spacing w:val="12"/>
          <w:sz w:val="32"/>
          <w:szCs w:val="32"/>
          <w:lang w:eastAsia="zh-CN"/>
        </w:rPr>
        <w:t>7.</w:t>
      </w:r>
      <w:r>
        <w:rPr>
          <w:rFonts w:hAnsi="楷体" w:eastAsia="仿宋_GB2312" w:cs="楷体"/>
          <w:spacing w:val="6"/>
          <w:sz w:val="32"/>
          <w:szCs w:val="32"/>
        </w:rPr>
        <w:t>完成土地转用征收工作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绩效目标：按照新增建设用地计划指标完成土地转征组卷报</w:t>
      </w:r>
      <w:r>
        <w:rPr>
          <w:rFonts w:hAnsi="仿宋" w:eastAsia="仿宋_GB2312" w:cs="仿宋"/>
          <w:spacing w:val="-3"/>
          <w:sz w:val="32"/>
          <w:szCs w:val="32"/>
        </w:rPr>
        <w:t>批</w:t>
      </w:r>
      <w:r>
        <w:rPr>
          <w:rFonts w:hAnsi="仿宋" w:eastAsia="仿宋_GB2312" w:cs="仿宋"/>
          <w:spacing w:val="-5"/>
          <w:sz w:val="32"/>
          <w:szCs w:val="32"/>
        </w:rPr>
        <w:t>及补偿工作。</w:t>
      </w:r>
    </w:p>
    <w:p>
      <w:pPr>
        <w:snapToGrid w:val="0"/>
        <w:spacing w:line="560" w:lineRule="exact"/>
        <w:ind w:firstLine="544" w:firstLineChars="200"/>
        <w:rPr>
          <w:rFonts w:eastAsia="仿宋_GB2312" w:cs="仿宋"/>
          <w:sz w:val="32"/>
          <w:szCs w:val="32"/>
        </w:rPr>
      </w:pPr>
      <w:r>
        <w:rPr>
          <w:rFonts w:hAnsi="仿宋" w:eastAsia="仿宋_GB2312" w:cs="仿宋"/>
          <w:spacing w:val="-24"/>
          <w:sz w:val="32"/>
          <w:szCs w:val="32"/>
        </w:rPr>
        <w:t>绩</w:t>
      </w:r>
      <w:r>
        <w:rPr>
          <w:rFonts w:hAnsi="仿宋" w:eastAsia="仿宋_GB2312" w:cs="仿宋"/>
          <w:spacing w:val="-21"/>
          <w:sz w:val="32"/>
          <w:szCs w:val="32"/>
        </w:rPr>
        <w:t>效</w:t>
      </w:r>
      <w:r>
        <w:rPr>
          <w:rFonts w:hAnsi="仿宋" w:eastAsia="仿宋_GB2312" w:cs="仿宋"/>
          <w:spacing w:val="-12"/>
          <w:sz w:val="32"/>
          <w:szCs w:val="32"/>
        </w:rPr>
        <w:t>指标：完成实现土地转用征收面积</w:t>
      </w:r>
      <w:r>
        <w:rPr>
          <w:rFonts w:eastAsia="仿宋_GB2312"/>
          <w:spacing w:val="-12"/>
          <w:sz w:val="32"/>
          <w:szCs w:val="32"/>
        </w:rPr>
        <w:t>6000</w:t>
      </w:r>
      <w:r>
        <w:rPr>
          <w:rFonts w:hAnsi="仿宋" w:eastAsia="仿宋_GB2312" w:cs="仿宋"/>
          <w:spacing w:val="-12"/>
          <w:sz w:val="32"/>
          <w:szCs w:val="32"/>
        </w:rPr>
        <w:t>亩，土地补偿费及</w:t>
      </w:r>
      <w:r>
        <w:rPr>
          <w:rFonts w:hAnsi="仿宋" w:eastAsia="仿宋_GB2312" w:cs="仿宋"/>
          <w:spacing w:val="-18"/>
          <w:sz w:val="32"/>
          <w:szCs w:val="32"/>
        </w:rPr>
        <w:t>安置补</w:t>
      </w:r>
      <w:r>
        <w:rPr>
          <w:rFonts w:hAnsi="仿宋" w:eastAsia="仿宋_GB2312" w:cs="仿宋"/>
          <w:spacing w:val="-12"/>
          <w:sz w:val="32"/>
          <w:szCs w:val="32"/>
        </w:rPr>
        <w:t>偿</w:t>
      </w:r>
      <w:r>
        <w:rPr>
          <w:rFonts w:hAnsi="仿宋" w:eastAsia="仿宋_GB2312" w:cs="仿宋"/>
          <w:spacing w:val="-9"/>
          <w:sz w:val="32"/>
          <w:szCs w:val="32"/>
        </w:rPr>
        <w:t>费成本</w:t>
      </w:r>
      <w:r>
        <w:rPr>
          <w:rFonts w:eastAsia="仿宋_GB2312"/>
          <w:spacing w:val="-9"/>
          <w:sz w:val="32"/>
          <w:szCs w:val="32"/>
        </w:rPr>
        <w:t>11.5</w:t>
      </w:r>
      <w:r>
        <w:rPr>
          <w:rFonts w:hAnsi="仿宋" w:eastAsia="仿宋_GB2312" w:cs="仿宋"/>
          <w:spacing w:val="-9"/>
          <w:sz w:val="32"/>
          <w:szCs w:val="32"/>
        </w:rPr>
        <w:t>万元</w:t>
      </w:r>
      <w:r>
        <w:rPr>
          <w:rFonts w:eastAsia="仿宋_GB2312"/>
          <w:spacing w:val="-9"/>
          <w:sz w:val="32"/>
          <w:szCs w:val="32"/>
        </w:rPr>
        <w:t>/</w:t>
      </w:r>
      <w:r>
        <w:rPr>
          <w:rFonts w:hAnsi="仿宋" w:eastAsia="仿宋_GB2312" w:cs="仿宋"/>
          <w:spacing w:val="-9"/>
          <w:sz w:val="32"/>
          <w:szCs w:val="32"/>
        </w:rPr>
        <w:t>亩，郁闭度</w:t>
      </w:r>
      <w:r>
        <w:rPr>
          <w:rFonts w:eastAsia="仿宋_GB2312"/>
          <w:spacing w:val="-9"/>
          <w:sz w:val="32"/>
          <w:szCs w:val="32"/>
        </w:rPr>
        <w:t>0.2</w:t>
      </w:r>
      <w:r>
        <w:rPr>
          <w:rFonts w:hAnsi="仿宋" w:eastAsia="仿宋_GB2312" w:cs="仿宋"/>
          <w:spacing w:val="-9"/>
          <w:sz w:val="32"/>
          <w:szCs w:val="32"/>
        </w:rPr>
        <w:t>以上的乔木林地</w:t>
      </w:r>
      <w:r>
        <w:rPr>
          <w:rFonts w:eastAsia="仿宋_GB2312" w:cs="仿宋"/>
          <w:spacing w:val="-9"/>
          <w:sz w:val="32"/>
          <w:szCs w:val="32"/>
        </w:rPr>
        <w:t>(</w:t>
      </w:r>
      <w:r>
        <w:rPr>
          <w:rFonts w:hAnsi="仿宋" w:eastAsia="仿宋_GB2312" w:cs="仿宋"/>
          <w:spacing w:val="-9"/>
          <w:sz w:val="32"/>
          <w:szCs w:val="32"/>
        </w:rPr>
        <w:t>含采伐</w:t>
      </w:r>
      <w:r>
        <w:rPr>
          <w:rFonts w:hAnsi="仿宋" w:eastAsia="仿宋_GB2312" w:cs="仿宋"/>
          <w:spacing w:val="-20"/>
          <w:sz w:val="32"/>
          <w:szCs w:val="32"/>
        </w:rPr>
        <w:t>迹地</w:t>
      </w:r>
      <w:r>
        <w:rPr>
          <w:rFonts w:hAnsi="仿宋" w:eastAsia="仿宋_GB2312" w:cs="仿宋"/>
          <w:spacing w:val="-10"/>
          <w:sz w:val="32"/>
          <w:szCs w:val="32"/>
        </w:rPr>
        <w:t>、火烧迹地</w:t>
      </w:r>
      <w:r>
        <w:rPr>
          <w:rFonts w:eastAsia="仿宋_GB2312" w:cs="仿宋"/>
          <w:spacing w:val="-10"/>
          <w:sz w:val="32"/>
          <w:szCs w:val="32"/>
        </w:rPr>
        <w:t>)</w:t>
      </w:r>
      <w:r>
        <w:rPr>
          <w:rFonts w:hAnsi="仿宋" w:eastAsia="仿宋_GB2312" w:cs="仿宋"/>
          <w:spacing w:val="-10"/>
          <w:sz w:val="32"/>
          <w:szCs w:val="32"/>
        </w:rPr>
        <w:t>、竹林地、苗圃地补偿费成本</w:t>
      </w:r>
      <w:r>
        <w:rPr>
          <w:rFonts w:eastAsia="仿宋_GB2312"/>
          <w:spacing w:val="-10"/>
          <w:sz w:val="32"/>
          <w:szCs w:val="32"/>
        </w:rPr>
        <w:t>10.2</w:t>
      </w:r>
      <w:r>
        <w:rPr>
          <w:rFonts w:hAnsi="仿宋" w:eastAsia="仿宋_GB2312" w:cs="仿宋"/>
          <w:spacing w:val="-10"/>
          <w:sz w:val="32"/>
          <w:szCs w:val="32"/>
        </w:rPr>
        <w:t>元</w:t>
      </w:r>
      <w:r>
        <w:rPr>
          <w:rFonts w:eastAsia="仿宋_GB2312"/>
          <w:spacing w:val="-10"/>
          <w:sz w:val="32"/>
          <w:szCs w:val="32"/>
        </w:rPr>
        <w:t>/</w:t>
      </w:r>
      <w:r>
        <w:rPr>
          <w:rFonts w:hAnsi="仿宋" w:eastAsia="仿宋_GB2312" w:cs="仿宋"/>
          <w:spacing w:val="-10"/>
          <w:sz w:val="32"/>
          <w:szCs w:val="32"/>
        </w:rPr>
        <w:t>平方米，灌</w:t>
      </w:r>
      <w:r>
        <w:rPr>
          <w:rFonts w:hAnsi="仿宋" w:eastAsia="仿宋_GB2312" w:cs="仿宋"/>
          <w:spacing w:val="-14"/>
          <w:sz w:val="32"/>
          <w:szCs w:val="32"/>
        </w:rPr>
        <w:t>木</w:t>
      </w:r>
      <w:r>
        <w:rPr>
          <w:rFonts w:hAnsi="仿宋" w:eastAsia="仿宋_GB2312" w:cs="仿宋"/>
          <w:spacing w:val="-9"/>
          <w:sz w:val="32"/>
          <w:szCs w:val="32"/>
        </w:rPr>
        <w:t>林地、疏林地、未成林造林地补偿费成本</w:t>
      </w:r>
      <w:r>
        <w:rPr>
          <w:rFonts w:eastAsia="仿宋_GB2312"/>
          <w:spacing w:val="-9"/>
          <w:sz w:val="32"/>
          <w:szCs w:val="32"/>
        </w:rPr>
        <w:t>6</w:t>
      </w:r>
      <w:r>
        <w:rPr>
          <w:rFonts w:hAnsi="仿宋" w:eastAsia="仿宋_GB2312" w:cs="仿宋"/>
          <w:spacing w:val="-9"/>
          <w:sz w:val="32"/>
          <w:szCs w:val="32"/>
        </w:rPr>
        <w:t>元</w:t>
      </w:r>
      <w:r>
        <w:rPr>
          <w:rFonts w:eastAsia="仿宋_GB2312"/>
          <w:spacing w:val="-9"/>
          <w:sz w:val="32"/>
          <w:szCs w:val="32"/>
        </w:rPr>
        <w:t>/</w:t>
      </w:r>
      <w:r>
        <w:rPr>
          <w:rFonts w:hAnsi="仿宋" w:eastAsia="仿宋_GB2312" w:cs="仿宋"/>
          <w:spacing w:val="-9"/>
          <w:sz w:val="32"/>
          <w:szCs w:val="32"/>
        </w:rPr>
        <w:t>平方米，宜林地补</w:t>
      </w:r>
      <w:r>
        <w:rPr>
          <w:rFonts w:hAnsi="仿宋" w:eastAsia="仿宋_GB2312" w:cs="仿宋"/>
          <w:spacing w:val="-15"/>
          <w:sz w:val="32"/>
          <w:szCs w:val="32"/>
        </w:rPr>
        <w:t>偿</w:t>
      </w:r>
      <w:r>
        <w:rPr>
          <w:rFonts w:hAnsi="仿宋" w:eastAsia="仿宋_GB2312" w:cs="仿宋"/>
          <w:spacing w:val="-9"/>
          <w:sz w:val="32"/>
          <w:szCs w:val="32"/>
        </w:rPr>
        <w:t>费成本</w:t>
      </w:r>
      <w:r>
        <w:rPr>
          <w:rFonts w:eastAsia="仿宋_GB2312"/>
          <w:spacing w:val="-9"/>
          <w:sz w:val="32"/>
          <w:szCs w:val="32"/>
        </w:rPr>
        <w:t>3</w:t>
      </w:r>
      <w:r>
        <w:rPr>
          <w:rFonts w:hAnsi="仿宋" w:eastAsia="仿宋_GB2312" w:cs="仿宋"/>
          <w:spacing w:val="-9"/>
          <w:sz w:val="32"/>
          <w:szCs w:val="32"/>
        </w:rPr>
        <w:t>元</w:t>
      </w:r>
      <w:r>
        <w:rPr>
          <w:rFonts w:eastAsia="仿宋_GB2312"/>
          <w:spacing w:val="-9"/>
          <w:sz w:val="32"/>
          <w:szCs w:val="32"/>
        </w:rPr>
        <w:t>/</w:t>
      </w:r>
      <w:r>
        <w:rPr>
          <w:rFonts w:hAnsi="仿宋" w:eastAsia="仿宋_GB2312" w:cs="仿宋"/>
          <w:spacing w:val="-9"/>
          <w:sz w:val="32"/>
          <w:szCs w:val="32"/>
        </w:rPr>
        <w:t>平方米，保障被征地农民原有生活水平不降低、长远</w:t>
      </w:r>
      <w:r>
        <w:rPr>
          <w:rFonts w:hAnsi="仿宋" w:eastAsia="仿宋_GB2312" w:cs="仿宋"/>
          <w:spacing w:val="-12"/>
          <w:sz w:val="32"/>
          <w:szCs w:val="32"/>
        </w:rPr>
        <w:t>生计，被征地居民满意度达</w:t>
      </w:r>
      <w:r>
        <w:rPr>
          <w:rFonts w:eastAsia="仿宋_GB2312"/>
          <w:spacing w:val="-12"/>
          <w:sz w:val="32"/>
          <w:szCs w:val="32"/>
        </w:rPr>
        <w:t>90%</w:t>
      </w:r>
      <w:r>
        <w:rPr>
          <w:rFonts w:hAnsi="仿宋" w:eastAsia="仿宋_GB2312" w:cs="仿宋"/>
          <w:spacing w:val="-12"/>
          <w:sz w:val="32"/>
          <w:szCs w:val="32"/>
        </w:rPr>
        <w:t>以上。</w:t>
      </w:r>
    </w:p>
    <w:p>
      <w:pPr>
        <w:snapToGrid w:val="0"/>
        <w:spacing w:line="560" w:lineRule="exact"/>
        <w:ind w:firstLine="688" w:firstLineChars="200"/>
        <w:rPr>
          <w:rFonts w:eastAsia="仿宋_GB2312" w:cs="楷体"/>
          <w:sz w:val="32"/>
          <w:szCs w:val="32"/>
        </w:rPr>
      </w:pPr>
      <w:r>
        <w:rPr>
          <w:rFonts w:hint="eastAsia" w:eastAsia="仿宋_GB2312" w:cs="楷体"/>
          <w:spacing w:val="12"/>
          <w:sz w:val="32"/>
          <w:szCs w:val="32"/>
          <w:lang w:eastAsia="zh-CN"/>
        </w:rPr>
        <w:t>8.</w:t>
      </w:r>
      <w:r>
        <w:rPr>
          <w:rFonts w:hAnsi="楷体" w:eastAsia="仿宋_GB2312" w:cs="楷体"/>
          <w:spacing w:val="6"/>
          <w:sz w:val="32"/>
          <w:szCs w:val="32"/>
        </w:rPr>
        <w:t>完成园林绿化养护工作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绩效目标：通过项目的开展建立、健全管理制度，定期维护</w:t>
      </w:r>
      <w:r>
        <w:rPr>
          <w:rFonts w:hAnsi="仿宋" w:eastAsia="仿宋_GB2312" w:cs="仿宋"/>
          <w:spacing w:val="-3"/>
          <w:sz w:val="32"/>
          <w:szCs w:val="32"/>
        </w:rPr>
        <w:t>绿</w:t>
      </w:r>
      <w:r>
        <w:rPr>
          <w:rFonts w:hAnsi="仿宋" w:eastAsia="仿宋_GB2312" w:cs="仿宋"/>
          <w:spacing w:val="-28"/>
          <w:sz w:val="32"/>
          <w:szCs w:val="32"/>
        </w:rPr>
        <w:t>化</w:t>
      </w:r>
      <w:r>
        <w:rPr>
          <w:rFonts w:hAnsi="仿宋" w:eastAsia="仿宋_GB2312" w:cs="仿宋"/>
          <w:spacing w:val="-15"/>
          <w:sz w:val="32"/>
          <w:szCs w:val="32"/>
        </w:rPr>
        <w:t>设施，做好病虫害防治工作，保持树木花草繁茂和绿化设施完好。</w:t>
      </w:r>
      <w:r>
        <w:rPr>
          <w:rFonts w:hAnsi="仿宋" w:eastAsia="仿宋_GB2312" w:cs="仿宋"/>
          <w:spacing w:val="-8"/>
          <w:sz w:val="32"/>
          <w:szCs w:val="32"/>
        </w:rPr>
        <w:t>推动绿色发</w:t>
      </w:r>
      <w:r>
        <w:rPr>
          <w:rFonts w:hAnsi="仿宋" w:eastAsia="仿宋_GB2312" w:cs="仿宋"/>
          <w:spacing w:val="-7"/>
          <w:sz w:val="32"/>
          <w:szCs w:val="32"/>
        </w:rPr>
        <w:t>展</w:t>
      </w:r>
      <w:r>
        <w:rPr>
          <w:rFonts w:hAnsi="仿宋" w:eastAsia="仿宋_GB2312" w:cs="仿宋"/>
          <w:spacing w:val="-4"/>
          <w:sz w:val="32"/>
          <w:szCs w:val="32"/>
        </w:rPr>
        <w:t>，促进人与自然和谐共生。坚持绿水青山就是金山银</w:t>
      </w:r>
      <w:r>
        <w:rPr>
          <w:rFonts w:hAnsi="仿宋" w:eastAsia="仿宋_GB2312" w:cs="仿宋"/>
          <w:spacing w:val="-15"/>
          <w:sz w:val="32"/>
          <w:szCs w:val="32"/>
        </w:rPr>
        <w:t>山理念，实施可持续发展战略，完善生态文明领域统筹协调机制，构</w:t>
      </w:r>
      <w:r>
        <w:rPr>
          <w:rFonts w:hAnsi="仿宋" w:eastAsia="仿宋_GB2312" w:cs="仿宋"/>
          <w:spacing w:val="-11"/>
          <w:sz w:val="32"/>
          <w:szCs w:val="32"/>
        </w:rPr>
        <w:t>建生态文明体系，建设美丽中国。</w:t>
      </w:r>
    </w:p>
    <w:p>
      <w:pPr>
        <w:snapToGrid w:val="0"/>
        <w:spacing w:line="560" w:lineRule="exact"/>
        <w:ind w:firstLine="584" w:firstLineChars="200"/>
        <w:rPr>
          <w:rFonts w:eastAsia="仿宋_GB2312" w:cs="仿宋"/>
          <w:sz w:val="32"/>
          <w:szCs w:val="32"/>
        </w:rPr>
      </w:pPr>
      <w:r>
        <w:rPr>
          <w:rFonts w:hAnsi="仿宋" w:eastAsia="仿宋_GB2312" w:cs="仿宋"/>
          <w:spacing w:val="-14"/>
          <w:sz w:val="32"/>
          <w:szCs w:val="32"/>
        </w:rPr>
        <w:t>绩</w:t>
      </w:r>
      <w:r>
        <w:rPr>
          <w:rFonts w:hAnsi="仿宋" w:eastAsia="仿宋_GB2312" w:cs="仿宋"/>
          <w:spacing w:val="-9"/>
          <w:sz w:val="32"/>
          <w:szCs w:val="32"/>
        </w:rPr>
        <w:t>效指标：完成</w:t>
      </w:r>
      <w:r>
        <w:rPr>
          <w:rFonts w:eastAsia="仿宋_GB2312"/>
          <w:spacing w:val="-9"/>
          <w:sz w:val="32"/>
          <w:szCs w:val="32"/>
        </w:rPr>
        <w:t>2023-2024</w:t>
      </w:r>
      <w:r>
        <w:rPr>
          <w:rFonts w:hAnsi="仿宋" w:eastAsia="仿宋_GB2312" w:cs="仿宋"/>
          <w:spacing w:val="-9"/>
          <w:sz w:val="32"/>
          <w:szCs w:val="32"/>
        </w:rPr>
        <w:t>年度</w:t>
      </w:r>
      <w:r>
        <w:rPr>
          <w:rFonts w:eastAsia="仿宋_GB2312"/>
          <w:spacing w:val="-9"/>
          <w:sz w:val="32"/>
          <w:szCs w:val="32"/>
        </w:rPr>
        <w:t>66.8</w:t>
      </w:r>
      <w:r>
        <w:rPr>
          <w:rFonts w:hAnsi="仿宋" w:eastAsia="仿宋_GB2312" w:cs="仿宋"/>
          <w:spacing w:val="-9"/>
          <w:sz w:val="32"/>
          <w:szCs w:val="32"/>
        </w:rPr>
        <w:t>万平方米绿化养护，使养</w:t>
      </w:r>
      <w:r>
        <w:rPr>
          <w:rFonts w:hAnsi="仿宋" w:eastAsia="仿宋_GB2312" w:cs="仿宋"/>
          <w:spacing w:val="-20"/>
          <w:sz w:val="32"/>
          <w:szCs w:val="32"/>
        </w:rPr>
        <w:t>护</w:t>
      </w:r>
      <w:r>
        <w:rPr>
          <w:rFonts w:hAnsi="仿宋" w:eastAsia="仿宋_GB2312" w:cs="仿宋"/>
          <w:spacing w:val="-19"/>
          <w:sz w:val="32"/>
          <w:szCs w:val="32"/>
        </w:rPr>
        <w:t>区</w:t>
      </w:r>
      <w:r>
        <w:rPr>
          <w:rFonts w:hAnsi="仿宋" w:eastAsia="仿宋_GB2312" w:cs="仿宋"/>
          <w:spacing w:val="-10"/>
          <w:sz w:val="32"/>
          <w:szCs w:val="32"/>
        </w:rPr>
        <w:t>域园林植物成活率达到</w:t>
      </w:r>
      <w:r>
        <w:rPr>
          <w:rFonts w:eastAsia="仿宋_GB2312"/>
          <w:spacing w:val="-10"/>
          <w:sz w:val="32"/>
          <w:szCs w:val="32"/>
        </w:rPr>
        <w:t>90%</w:t>
      </w:r>
      <w:r>
        <w:rPr>
          <w:rFonts w:hAnsi="仿宋" w:eastAsia="仿宋_GB2312" w:cs="仿宋"/>
          <w:spacing w:val="-10"/>
          <w:sz w:val="32"/>
          <w:szCs w:val="32"/>
        </w:rPr>
        <w:t>以上，修剪合格率达到</w:t>
      </w:r>
      <w:r>
        <w:rPr>
          <w:rFonts w:eastAsia="仿宋_GB2312"/>
          <w:spacing w:val="-10"/>
          <w:sz w:val="32"/>
          <w:szCs w:val="32"/>
        </w:rPr>
        <w:t>100%</w:t>
      </w:r>
      <w:r>
        <w:rPr>
          <w:rFonts w:hAnsi="仿宋" w:eastAsia="仿宋_GB2312" w:cs="仿宋"/>
          <w:spacing w:val="-10"/>
          <w:sz w:val="32"/>
          <w:szCs w:val="32"/>
        </w:rPr>
        <w:t>，成本控制在预算范围内，提升区域景观价值，提升环境质量</w:t>
      </w:r>
      <w:r>
        <w:rPr>
          <w:rFonts w:hAnsi="仿宋" w:eastAsia="仿宋_GB2312" w:cs="仿宋"/>
          <w:spacing w:val="-9"/>
          <w:sz w:val="32"/>
          <w:szCs w:val="32"/>
        </w:rPr>
        <w:t>。</w:t>
      </w:r>
    </w:p>
    <w:p>
      <w:pPr>
        <w:snapToGrid w:val="0"/>
        <w:spacing w:line="560" w:lineRule="exact"/>
        <w:ind w:firstLine="660" w:firstLineChars="200"/>
        <w:rPr>
          <w:rFonts w:eastAsia="仿宋_GB2312" w:cs="楷体"/>
          <w:sz w:val="32"/>
          <w:szCs w:val="32"/>
        </w:rPr>
      </w:pPr>
      <w:r>
        <w:rPr>
          <w:rFonts w:hint="eastAsia" w:eastAsia="仿宋_GB2312" w:cs="楷体"/>
          <w:spacing w:val="5"/>
          <w:sz w:val="32"/>
          <w:szCs w:val="32"/>
          <w:lang w:eastAsia="zh-CN"/>
        </w:rPr>
        <w:t>9.</w:t>
      </w:r>
      <w:r>
        <w:rPr>
          <w:rFonts w:hAnsi="楷体" w:eastAsia="仿宋_GB2312" w:cs="楷体"/>
          <w:spacing w:val="4"/>
          <w:sz w:val="32"/>
          <w:szCs w:val="32"/>
        </w:rPr>
        <w:t>完成临空经济区信息宣传工作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绩效目标：通过整体传播计划，充分展示廊坊临空经济区拼</w:t>
      </w:r>
      <w:r>
        <w:rPr>
          <w:rFonts w:hAnsi="仿宋" w:eastAsia="仿宋_GB2312" w:cs="仿宋"/>
          <w:spacing w:val="-3"/>
          <w:sz w:val="32"/>
          <w:szCs w:val="32"/>
        </w:rPr>
        <w:t>搏</w:t>
      </w:r>
      <w:r>
        <w:rPr>
          <w:rFonts w:hAnsi="仿宋" w:eastAsia="仿宋_GB2312" w:cs="仿宋"/>
          <w:spacing w:val="-8"/>
          <w:sz w:val="32"/>
          <w:szCs w:val="32"/>
        </w:rPr>
        <w:t>向上、朝气</w:t>
      </w:r>
      <w:r>
        <w:rPr>
          <w:rFonts w:hAnsi="仿宋" w:eastAsia="仿宋_GB2312" w:cs="仿宋"/>
          <w:spacing w:val="-7"/>
          <w:sz w:val="32"/>
          <w:szCs w:val="32"/>
        </w:rPr>
        <w:t>蓬</w:t>
      </w:r>
      <w:r>
        <w:rPr>
          <w:rFonts w:hAnsi="仿宋" w:eastAsia="仿宋_GB2312" w:cs="仿宋"/>
          <w:spacing w:val="-4"/>
          <w:sz w:val="32"/>
          <w:szCs w:val="32"/>
        </w:rPr>
        <w:t>勃的精神面貌和日新月异的建设成果，进一步提升廊</w:t>
      </w:r>
      <w:r>
        <w:rPr>
          <w:rFonts w:hAnsi="仿宋" w:eastAsia="仿宋_GB2312" w:cs="仿宋"/>
          <w:spacing w:val="-8"/>
          <w:sz w:val="32"/>
          <w:szCs w:val="32"/>
        </w:rPr>
        <w:t>坊临空经济</w:t>
      </w:r>
      <w:r>
        <w:rPr>
          <w:rFonts w:hAnsi="仿宋" w:eastAsia="仿宋_GB2312" w:cs="仿宋"/>
          <w:spacing w:val="-7"/>
          <w:sz w:val="32"/>
          <w:szCs w:val="32"/>
        </w:rPr>
        <w:t>区</w:t>
      </w:r>
      <w:r>
        <w:rPr>
          <w:rFonts w:hAnsi="仿宋" w:eastAsia="仿宋_GB2312" w:cs="仿宋"/>
          <w:spacing w:val="-4"/>
          <w:sz w:val="32"/>
          <w:szCs w:val="32"/>
        </w:rPr>
        <w:t>知名度和吸引力。树立临空经济区品牌形象，打造与</w:t>
      </w:r>
      <w:r>
        <w:rPr>
          <w:rFonts w:hAnsi="仿宋" w:eastAsia="仿宋_GB2312" w:cs="仿宋"/>
          <w:spacing w:val="-20"/>
          <w:sz w:val="32"/>
          <w:szCs w:val="32"/>
        </w:rPr>
        <w:t>世</w:t>
      </w:r>
      <w:r>
        <w:rPr>
          <w:rFonts w:hAnsi="仿宋" w:eastAsia="仿宋_GB2312" w:cs="仿宋"/>
          <w:spacing w:val="-13"/>
          <w:sz w:val="32"/>
          <w:szCs w:val="32"/>
        </w:rPr>
        <w:t>界</w:t>
      </w:r>
      <w:r>
        <w:rPr>
          <w:rFonts w:hAnsi="仿宋" w:eastAsia="仿宋_GB2312" w:cs="仿宋"/>
          <w:spacing w:val="-10"/>
          <w:sz w:val="32"/>
          <w:szCs w:val="32"/>
        </w:rPr>
        <w:t>一流航空城相匹配的品牌价值。</w:t>
      </w:r>
    </w:p>
    <w:p>
      <w:pPr>
        <w:snapToGrid w:val="0"/>
        <w:spacing w:line="560" w:lineRule="exact"/>
        <w:ind w:firstLine="584" w:firstLineChars="200"/>
        <w:rPr>
          <w:rFonts w:eastAsia="仿宋_GB2312" w:cs="仿宋"/>
          <w:sz w:val="32"/>
          <w:szCs w:val="32"/>
        </w:rPr>
      </w:pPr>
      <w:r>
        <w:rPr>
          <w:rFonts w:hAnsi="仿宋" w:eastAsia="仿宋_GB2312" w:cs="仿宋"/>
          <w:spacing w:val="-14"/>
          <w:sz w:val="32"/>
          <w:szCs w:val="32"/>
        </w:rPr>
        <w:t>绩效指</w:t>
      </w:r>
      <w:r>
        <w:rPr>
          <w:rFonts w:hAnsi="仿宋" w:eastAsia="仿宋_GB2312" w:cs="仿宋"/>
          <w:spacing w:val="-10"/>
          <w:sz w:val="32"/>
          <w:szCs w:val="32"/>
        </w:rPr>
        <w:t>标</w:t>
      </w:r>
      <w:r>
        <w:rPr>
          <w:rFonts w:hAnsi="仿宋" w:eastAsia="仿宋_GB2312" w:cs="仿宋"/>
          <w:spacing w:val="-7"/>
          <w:sz w:val="32"/>
          <w:szCs w:val="32"/>
        </w:rPr>
        <w:t>：通过项目开展，完成媒体发稿量不低于</w:t>
      </w:r>
      <w:r>
        <w:rPr>
          <w:rFonts w:eastAsia="仿宋_GB2312"/>
          <w:spacing w:val="-7"/>
          <w:sz w:val="32"/>
          <w:szCs w:val="32"/>
        </w:rPr>
        <w:t>200</w:t>
      </w:r>
      <w:r>
        <w:rPr>
          <w:rFonts w:hAnsi="仿宋" w:eastAsia="仿宋_GB2312" w:cs="仿宋"/>
          <w:spacing w:val="-7"/>
          <w:sz w:val="32"/>
          <w:szCs w:val="32"/>
        </w:rPr>
        <w:t>篇，微</w:t>
      </w:r>
      <w:r>
        <w:rPr>
          <w:rFonts w:hAnsi="仿宋" w:eastAsia="仿宋_GB2312" w:cs="仿宋"/>
          <w:spacing w:val="-11"/>
          <w:sz w:val="32"/>
          <w:szCs w:val="32"/>
        </w:rPr>
        <w:t>信</w:t>
      </w:r>
      <w:r>
        <w:rPr>
          <w:rFonts w:hAnsi="仿宋" w:eastAsia="仿宋_GB2312" w:cs="仿宋"/>
          <w:spacing w:val="-8"/>
          <w:sz w:val="32"/>
          <w:szCs w:val="32"/>
        </w:rPr>
        <w:t>公众号内容发布量不低于</w:t>
      </w:r>
      <w:r>
        <w:rPr>
          <w:rFonts w:eastAsia="仿宋_GB2312"/>
          <w:spacing w:val="-8"/>
          <w:sz w:val="32"/>
          <w:szCs w:val="32"/>
        </w:rPr>
        <w:t>250</w:t>
      </w:r>
      <w:r>
        <w:rPr>
          <w:rFonts w:hAnsi="仿宋" w:eastAsia="仿宋_GB2312" w:cs="仿宋"/>
          <w:spacing w:val="-8"/>
          <w:sz w:val="32"/>
          <w:szCs w:val="32"/>
        </w:rPr>
        <w:t>篇，对上发稿量不低于</w:t>
      </w:r>
      <w:r>
        <w:rPr>
          <w:rFonts w:eastAsia="仿宋_GB2312"/>
          <w:spacing w:val="-8"/>
          <w:sz w:val="32"/>
          <w:szCs w:val="32"/>
        </w:rPr>
        <w:t>100</w:t>
      </w:r>
      <w:r>
        <w:rPr>
          <w:rFonts w:hAnsi="仿宋" w:eastAsia="仿宋_GB2312" w:cs="仿宋"/>
          <w:spacing w:val="-8"/>
          <w:sz w:val="32"/>
          <w:szCs w:val="32"/>
        </w:rPr>
        <w:t>篇，发</w:t>
      </w:r>
      <w:r>
        <w:rPr>
          <w:rFonts w:hAnsi="仿宋" w:eastAsia="仿宋_GB2312" w:cs="仿宋"/>
          <w:spacing w:val="-20"/>
          <w:sz w:val="32"/>
          <w:szCs w:val="32"/>
        </w:rPr>
        <w:t>稿</w:t>
      </w:r>
      <w:r>
        <w:rPr>
          <w:rFonts w:hAnsi="仿宋" w:eastAsia="仿宋_GB2312" w:cs="仿宋"/>
          <w:spacing w:val="-12"/>
          <w:sz w:val="32"/>
          <w:szCs w:val="32"/>
        </w:rPr>
        <w:t>质量达标率</w:t>
      </w:r>
      <w:r>
        <w:rPr>
          <w:rFonts w:eastAsia="仿宋_GB2312"/>
          <w:spacing w:val="-12"/>
          <w:sz w:val="32"/>
          <w:szCs w:val="32"/>
        </w:rPr>
        <w:t>100%</w:t>
      </w:r>
      <w:r>
        <w:rPr>
          <w:rFonts w:hAnsi="仿宋" w:eastAsia="仿宋_GB2312" w:cs="仿宋"/>
          <w:spacing w:val="-12"/>
          <w:sz w:val="32"/>
          <w:szCs w:val="32"/>
        </w:rPr>
        <w:t>，成本控制在预算范围内，提升临空经济区整体</w:t>
      </w:r>
      <w:r>
        <w:rPr>
          <w:rFonts w:hAnsi="仿宋" w:eastAsia="仿宋_GB2312" w:cs="仿宋"/>
          <w:spacing w:val="-17"/>
          <w:sz w:val="32"/>
          <w:szCs w:val="32"/>
        </w:rPr>
        <w:t>对</w:t>
      </w:r>
      <w:r>
        <w:rPr>
          <w:rFonts w:hAnsi="仿宋" w:eastAsia="仿宋_GB2312" w:cs="仿宋"/>
          <w:spacing w:val="-10"/>
          <w:sz w:val="32"/>
          <w:szCs w:val="32"/>
        </w:rPr>
        <w:t>外宣传水平，公众号阅读过千文章数不低于</w:t>
      </w:r>
      <w:r>
        <w:rPr>
          <w:rFonts w:eastAsia="仿宋_GB2312"/>
          <w:spacing w:val="-10"/>
          <w:sz w:val="32"/>
          <w:szCs w:val="32"/>
        </w:rPr>
        <w:t>120</w:t>
      </w:r>
      <w:r>
        <w:rPr>
          <w:rFonts w:hAnsi="仿宋" w:eastAsia="仿宋_GB2312" w:cs="仿宋"/>
          <w:spacing w:val="-10"/>
          <w:sz w:val="32"/>
          <w:szCs w:val="32"/>
        </w:rPr>
        <w:t>篇。</w:t>
      </w:r>
    </w:p>
    <w:p>
      <w:pPr>
        <w:snapToGrid w:val="0"/>
        <w:spacing w:line="560" w:lineRule="exact"/>
        <w:ind w:firstLine="660" w:firstLineChars="200"/>
        <w:rPr>
          <w:rFonts w:eastAsia="仿宋_GB2312" w:cs="楷体"/>
          <w:sz w:val="32"/>
          <w:szCs w:val="32"/>
        </w:rPr>
      </w:pPr>
      <w:r>
        <w:rPr>
          <w:rFonts w:hint="eastAsia" w:eastAsia="仿宋_GB2312" w:cs="楷体"/>
          <w:spacing w:val="5"/>
          <w:sz w:val="32"/>
          <w:szCs w:val="32"/>
          <w:lang w:eastAsia="zh-CN"/>
        </w:rPr>
        <w:t>10.</w:t>
      </w:r>
      <w:r>
        <w:rPr>
          <w:rFonts w:hAnsi="楷体" w:eastAsia="仿宋_GB2312" w:cs="楷体"/>
          <w:spacing w:val="5"/>
          <w:sz w:val="32"/>
          <w:szCs w:val="32"/>
        </w:rPr>
        <w:t>完成城市管理网格巡查工</w:t>
      </w:r>
      <w:r>
        <w:rPr>
          <w:rFonts w:hAnsi="楷体" w:eastAsia="仿宋_GB2312" w:cs="楷体"/>
          <w:spacing w:val="2"/>
          <w:sz w:val="32"/>
          <w:szCs w:val="32"/>
        </w:rPr>
        <w:t>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绩效目标：通过城市管理网格巡查工作的顺利开展，借鉴横</w:t>
      </w:r>
      <w:r>
        <w:rPr>
          <w:rFonts w:hAnsi="仿宋" w:eastAsia="仿宋_GB2312" w:cs="仿宋"/>
          <w:spacing w:val="-3"/>
          <w:sz w:val="32"/>
          <w:szCs w:val="32"/>
        </w:rPr>
        <w:t>琴</w:t>
      </w:r>
      <w:r>
        <w:rPr>
          <w:rFonts w:eastAsia="仿宋_GB2312"/>
          <w:spacing w:val="-13"/>
          <w:sz w:val="32"/>
          <w:szCs w:val="32"/>
        </w:rPr>
        <w:t>“</w:t>
      </w:r>
      <w:r>
        <w:rPr>
          <w:rFonts w:hAnsi="仿宋" w:eastAsia="仿宋_GB2312" w:cs="仿宋"/>
          <w:spacing w:val="-11"/>
          <w:sz w:val="32"/>
          <w:szCs w:val="32"/>
        </w:rPr>
        <w:t>物业城市</w:t>
      </w:r>
      <w:r>
        <w:rPr>
          <w:rFonts w:eastAsia="仿宋_GB2312"/>
          <w:spacing w:val="-11"/>
          <w:sz w:val="32"/>
          <w:szCs w:val="32"/>
        </w:rPr>
        <w:t>”</w:t>
      </w:r>
      <w:r>
        <w:rPr>
          <w:rFonts w:hAnsi="仿宋" w:eastAsia="仿宋_GB2312" w:cs="仿宋"/>
          <w:spacing w:val="-11"/>
          <w:sz w:val="32"/>
          <w:szCs w:val="32"/>
        </w:rPr>
        <w:t>管理模式，运用以网格化管理为载体的长效运行机制，对</w:t>
      </w:r>
      <w:r>
        <w:rPr>
          <w:rFonts w:hAnsi="仿宋" w:eastAsia="仿宋_GB2312" w:cs="仿宋"/>
          <w:spacing w:val="-4"/>
          <w:sz w:val="32"/>
          <w:szCs w:val="32"/>
        </w:rPr>
        <w:t>临空经济区</w:t>
      </w:r>
      <w:r>
        <w:rPr>
          <w:rFonts w:hAnsi="仿宋" w:eastAsia="仿宋_GB2312" w:cs="仿宋"/>
          <w:spacing w:val="-2"/>
          <w:sz w:val="32"/>
          <w:szCs w:val="32"/>
        </w:rPr>
        <w:t>进行网格精细化管理，保障城市面貌及城市管理品质。</w:t>
      </w:r>
      <w:r>
        <w:rPr>
          <w:rFonts w:hAnsi="仿宋" w:eastAsia="仿宋_GB2312" w:cs="仿宋"/>
          <w:spacing w:val="-12"/>
          <w:sz w:val="32"/>
          <w:szCs w:val="32"/>
        </w:rPr>
        <w:t>以</w:t>
      </w:r>
      <w:r>
        <w:rPr>
          <w:rFonts w:eastAsia="仿宋_GB2312"/>
          <w:spacing w:val="-12"/>
          <w:sz w:val="32"/>
          <w:szCs w:val="32"/>
        </w:rPr>
        <w:t>“</w:t>
      </w:r>
      <w:r>
        <w:rPr>
          <w:rFonts w:eastAsia="仿宋_GB2312"/>
          <w:spacing w:val="-11"/>
          <w:sz w:val="32"/>
          <w:szCs w:val="32"/>
        </w:rPr>
        <w:t>7</w:t>
      </w:r>
      <w:r>
        <w:rPr>
          <w:rFonts w:eastAsia="仿宋_GB2312"/>
          <w:spacing w:val="-6"/>
          <w:sz w:val="32"/>
          <w:szCs w:val="32"/>
        </w:rPr>
        <w:t>21”</w:t>
      </w:r>
      <w:r>
        <w:rPr>
          <w:rFonts w:hAnsi="仿宋" w:eastAsia="仿宋_GB2312" w:cs="仿宋"/>
          <w:spacing w:val="-6"/>
          <w:sz w:val="32"/>
          <w:szCs w:val="32"/>
        </w:rPr>
        <w:t>管理原则为基础，智巡数字化城市管理系统</w:t>
      </w:r>
      <w:r>
        <w:rPr>
          <w:rFonts w:eastAsia="仿宋_GB2312" w:cs="仿宋"/>
          <w:spacing w:val="-6"/>
          <w:sz w:val="32"/>
          <w:szCs w:val="32"/>
        </w:rPr>
        <w:t>(</w:t>
      </w:r>
      <w:r>
        <w:rPr>
          <w:rFonts w:hAnsi="仿宋" w:eastAsia="仿宋_GB2312" w:cs="仿宋"/>
          <w:spacing w:val="-6"/>
          <w:sz w:val="32"/>
          <w:szCs w:val="32"/>
        </w:rPr>
        <w:t>平台</w:t>
      </w:r>
      <w:r>
        <w:rPr>
          <w:rFonts w:eastAsia="仿宋_GB2312"/>
          <w:spacing w:val="-6"/>
          <w:sz w:val="32"/>
          <w:szCs w:val="32"/>
        </w:rPr>
        <w:t>+</w:t>
      </w:r>
      <w:r>
        <w:rPr>
          <w:rFonts w:hAnsi="仿宋" w:eastAsia="仿宋_GB2312" w:cs="仿宋"/>
          <w:spacing w:val="-6"/>
          <w:sz w:val="32"/>
          <w:szCs w:val="32"/>
        </w:rPr>
        <w:t>小程序</w:t>
      </w:r>
      <w:r>
        <w:rPr>
          <w:rFonts w:eastAsia="仿宋_GB2312" w:cs="仿宋"/>
          <w:spacing w:val="-6"/>
          <w:sz w:val="32"/>
          <w:szCs w:val="32"/>
        </w:rPr>
        <w:t>)</w:t>
      </w:r>
      <w:r>
        <w:rPr>
          <w:rFonts w:hAnsi="仿宋" w:eastAsia="仿宋_GB2312" w:cs="仿宋"/>
          <w:spacing w:val="-24"/>
          <w:sz w:val="32"/>
          <w:szCs w:val="32"/>
        </w:rPr>
        <w:t>为依</w:t>
      </w:r>
      <w:r>
        <w:rPr>
          <w:rFonts w:hAnsi="仿宋" w:eastAsia="仿宋_GB2312" w:cs="仿宋"/>
          <w:spacing w:val="-12"/>
          <w:sz w:val="32"/>
          <w:szCs w:val="32"/>
        </w:rPr>
        <w:t>托，实现城市治理数字化、规范化、标准化管理。呈现巡查有痕</w:t>
      </w:r>
      <w:r>
        <w:rPr>
          <w:rFonts w:hAnsi="仿宋" w:eastAsia="仿宋_GB2312" w:cs="仿宋"/>
          <w:spacing w:val="-26"/>
          <w:sz w:val="32"/>
          <w:szCs w:val="32"/>
        </w:rPr>
        <w:t>迹</w:t>
      </w:r>
      <w:r>
        <w:rPr>
          <w:rFonts w:hAnsi="仿宋" w:eastAsia="仿宋_GB2312" w:cs="仿宋"/>
          <w:spacing w:val="-15"/>
          <w:sz w:val="32"/>
          <w:szCs w:val="32"/>
        </w:rPr>
        <w:t>、整改有时限、考核有依据、平台有验证的管理机制，促使城市管</w:t>
      </w:r>
      <w:r>
        <w:rPr>
          <w:rFonts w:hAnsi="仿宋" w:eastAsia="仿宋_GB2312" w:cs="仿宋"/>
          <w:spacing w:val="-7"/>
          <w:sz w:val="32"/>
          <w:szCs w:val="32"/>
        </w:rPr>
        <w:t>理</w:t>
      </w:r>
      <w:r>
        <w:rPr>
          <w:rFonts w:hAnsi="仿宋" w:eastAsia="仿宋_GB2312" w:cs="仿宋"/>
          <w:spacing w:val="-5"/>
          <w:sz w:val="32"/>
          <w:szCs w:val="32"/>
        </w:rPr>
        <w:t>中存在的诸多问题得到及时有效治理，降低行政部门执法频率，</w:t>
      </w:r>
      <w:r>
        <w:rPr>
          <w:rFonts w:hAnsi="仿宋" w:eastAsia="仿宋_GB2312" w:cs="仿宋"/>
          <w:spacing w:val="-14"/>
          <w:sz w:val="32"/>
          <w:szCs w:val="32"/>
        </w:rPr>
        <w:t>打</w:t>
      </w:r>
      <w:r>
        <w:rPr>
          <w:rFonts w:hAnsi="仿宋" w:eastAsia="仿宋_GB2312" w:cs="仿宋"/>
          <w:spacing w:val="-13"/>
          <w:sz w:val="32"/>
          <w:szCs w:val="32"/>
        </w:rPr>
        <w:t>造城市治理新模式。</w:t>
      </w:r>
    </w:p>
    <w:p>
      <w:pPr>
        <w:snapToGrid w:val="0"/>
        <w:spacing w:line="560" w:lineRule="exact"/>
        <w:ind w:firstLine="544" w:firstLineChars="200"/>
        <w:rPr>
          <w:rFonts w:eastAsia="仿宋_GB2312" w:cs="仿宋"/>
          <w:sz w:val="32"/>
          <w:szCs w:val="32"/>
        </w:rPr>
      </w:pPr>
      <w:r>
        <w:rPr>
          <w:rFonts w:hAnsi="仿宋" w:eastAsia="仿宋_GB2312" w:cs="仿宋"/>
          <w:spacing w:val="-24"/>
          <w:sz w:val="32"/>
          <w:szCs w:val="32"/>
        </w:rPr>
        <w:t>绩</w:t>
      </w:r>
      <w:r>
        <w:rPr>
          <w:rFonts w:hAnsi="仿宋" w:eastAsia="仿宋_GB2312" w:cs="仿宋"/>
          <w:spacing w:val="-22"/>
          <w:sz w:val="32"/>
          <w:szCs w:val="32"/>
        </w:rPr>
        <w:t>效</w:t>
      </w:r>
      <w:r>
        <w:rPr>
          <w:rFonts w:hAnsi="仿宋" w:eastAsia="仿宋_GB2312" w:cs="仿宋"/>
          <w:spacing w:val="-12"/>
          <w:sz w:val="32"/>
          <w:szCs w:val="32"/>
        </w:rPr>
        <w:t>指标：完成建成区、建设区、待建区巡查面积</w:t>
      </w:r>
      <w:r>
        <w:rPr>
          <w:rFonts w:eastAsia="仿宋_GB2312"/>
          <w:spacing w:val="-12"/>
          <w:sz w:val="32"/>
          <w:szCs w:val="32"/>
        </w:rPr>
        <w:t>2636</w:t>
      </w:r>
      <w:r>
        <w:rPr>
          <w:rFonts w:hAnsi="仿宋" w:eastAsia="仿宋_GB2312" w:cs="仿宋"/>
          <w:spacing w:val="-12"/>
          <w:sz w:val="32"/>
          <w:szCs w:val="32"/>
        </w:rPr>
        <w:t>亩，网</w:t>
      </w:r>
      <w:r>
        <w:rPr>
          <w:rFonts w:hAnsi="仿宋" w:eastAsia="仿宋_GB2312" w:cs="仿宋"/>
          <w:spacing w:val="-20"/>
          <w:sz w:val="32"/>
          <w:szCs w:val="32"/>
        </w:rPr>
        <w:t>格</w:t>
      </w:r>
      <w:r>
        <w:rPr>
          <w:rFonts w:hAnsi="仿宋" w:eastAsia="仿宋_GB2312" w:cs="仿宋"/>
          <w:spacing w:val="-14"/>
          <w:sz w:val="32"/>
          <w:szCs w:val="32"/>
        </w:rPr>
        <w:t>巡查服务保障</w:t>
      </w:r>
      <w:r>
        <w:rPr>
          <w:rFonts w:eastAsia="仿宋_GB2312"/>
          <w:spacing w:val="-14"/>
          <w:sz w:val="32"/>
          <w:szCs w:val="32"/>
        </w:rPr>
        <w:t>365</w:t>
      </w:r>
      <w:r>
        <w:rPr>
          <w:rFonts w:hAnsi="仿宋" w:eastAsia="仿宋_GB2312" w:cs="仿宋"/>
          <w:spacing w:val="-14"/>
          <w:sz w:val="32"/>
          <w:szCs w:val="32"/>
        </w:rPr>
        <w:t>天，网格巡查事项</w:t>
      </w:r>
      <w:r>
        <w:rPr>
          <w:rFonts w:eastAsia="仿宋_GB2312"/>
          <w:spacing w:val="-14"/>
          <w:sz w:val="32"/>
          <w:szCs w:val="32"/>
        </w:rPr>
        <w:t>10</w:t>
      </w:r>
      <w:r>
        <w:rPr>
          <w:rFonts w:hAnsi="仿宋" w:eastAsia="仿宋_GB2312" w:cs="仿宋"/>
          <w:spacing w:val="-14"/>
          <w:sz w:val="32"/>
          <w:szCs w:val="32"/>
        </w:rPr>
        <w:t>项，建成区巡查频次</w:t>
      </w:r>
      <w:r>
        <w:rPr>
          <w:rFonts w:eastAsia="仿宋_GB2312"/>
          <w:spacing w:val="-14"/>
          <w:sz w:val="32"/>
          <w:szCs w:val="32"/>
        </w:rPr>
        <w:t>2</w:t>
      </w:r>
      <w:r>
        <w:rPr>
          <w:rFonts w:hAnsi="仿宋" w:eastAsia="仿宋_GB2312" w:cs="仿宋"/>
          <w:spacing w:val="-14"/>
          <w:sz w:val="32"/>
          <w:szCs w:val="32"/>
        </w:rPr>
        <w:t>小</w:t>
      </w:r>
      <w:r>
        <w:rPr>
          <w:rFonts w:hAnsi="仿宋" w:eastAsia="仿宋_GB2312" w:cs="仿宋"/>
          <w:spacing w:val="-25"/>
          <w:sz w:val="32"/>
          <w:szCs w:val="32"/>
        </w:rPr>
        <w:t>时</w:t>
      </w:r>
      <w:r>
        <w:rPr>
          <w:rFonts w:eastAsia="仿宋_GB2312"/>
          <w:spacing w:val="-15"/>
          <w:sz w:val="32"/>
          <w:szCs w:val="32"/>
        </w:rPr>
        <w:t>/</w:t>
      </w:r>
      <w:r>
        <w:rPr>
          <w:rFonts w:hAnsi="仿宋" w:eastAsia="仿宋_GB2312" w:cs="仿宋"/>
          <w:spacing w:val="-15"/>
          <w:sz w:val="32"/>
          <w:szCs w:val="32"/>
        </w:rPr>
        <w:t>次，建设区巡查频次</w:t>
      </w:r>
      <w:r>
        <w:rPr>
          <w:rFonts w:eastAsia="仿宋_GB2312"/>
          <w:spacing w:val="-15"/>
          <w:sz w:val="32"/>
          <w:szCs w:val="32"/>
        </w:rPr>
        <w:t>3</w:t>
      </w:r>
      <w:r>
        <w:rPr>
          <w:rFonts w:hAnsi="仿宋" w:eastAsia="仿宋_GB2312" w:cs="仿宋"/>
          <w:spacing w:val="-15"/>
          <w:sz w:val="32"/>
          <w:szCs w:val="32"/>
        </w:rPr>
        <w:t>小时</w:t>
      </w:r>
      <w:r>
        <w:rPr>
          <w:rFonts w:eastAsia="仿宋_GB2312"/>
          <w:spacing w:val="-15"/>
          <w:sz w:val="32"/>
          <w:szCs w:val="32"/>
        </w:rPr>
        <w:t>/</w:t>
      </w:r>
      <w:r>
        <w:rPr>
          <w:rFonts w:hAnsi="仿宋" w:eastAsia="仿宋_GB2312" w:cs="仿宋"/>
          <w:spacing w:val="-15"/>
          <w:sz w:val="32"/>
          <w:szCs w:val="32"/>
        </w:rPr>
        <w:t>次，待建区巡查频次</w:t>
      </w:r>
      <w:r>
        <w:rPr>
          <w:rFonts w:eastAsia="仿宋_GB2312"/>
          <w:spacing w:val="-15"/>
          <w:sz w:val="32"/>
          <w:szCs w:val="32"/>
        </w:rPr>
        <w:t>6</w:t>
      </w:r>
      <w:r>
        <w:rPr>
          <w:rFonts w:hAnsi="仿宋" w:eastAsia="仿宋_GB2312" w:cs="仿宋"/>
          <w:spacing w:val="-15"/>
          <w:sz w:val="32"/>
          <w:szCs w:val="32"/>
        </w:rPr>
        <w:t>小时</w:t>
      </w:r>
      <w:r>
        <w:rPr>
          <w:rFonts w:eastAsia="仿宋_GB2312"/>
          <w:spacing w:val="-15"/>
          <w:sz w:val="32"/>
          <w:szCs w:val="32"/>
        </w:rPr>
        <w:t>/</w:t>
      </w:r>
      <w:r>
        <w:rPr>
          <w:rFonts w:hAnsi="仿宋" w:eastAsia="仿宋_GB2312" w:cs="仿宋"/>
          <w:spacing w:val="-15"/>
          <w:sz w:val="32"/>
          <w:szCs w:val="32"/>
        </w:rPr>
        <w:t>次，网格</w:t>
      </w:r>
      <w:r>
        <w:rPr>
          <w:rFonts w:hAnsi="仿宋" w:eastAsia="仿宋_GB2312" w:cs="仿宋"/>
          <w:spacing w:val="-24"/>
          <w:sz w:val="32"/>
          <w:szCs w:val="32"/>
        </w:rPr>
        <w:t>巡</w:t>
      </w:r>
      <w:r>
        <w:rPr>
          <w:rFonts w:hAnsi="仿宋" w:eastAsia="仿宋_GB2312" w:cs="仿宋"/>
          <w:spacing w:val="-12"/>
          <w:sz w:val="32"/>
          <w:szCs w:val="32"/>
        </w:rPr>
        <w:t>查面积执行率、网格巡查频次达标率达到</w:t>
      </w:r>
      <w:r>
        <w:rPr>
          <w:rFonts w:eastAsia="仿宋_GB2312"/>
          <w:spacing w:val="-12"/>
          <w:sz w:val="32"/>
          <w:szCs w:val="32"/>
        </w:rPr>
        <w:t>100%</w:t>
      </w:r>
      <w:r>
        <w:rPr>
          <w:rFonts w:hAnsi="仿宋" w:eastAsia="仿宋_GB2312" w:cs="仿宋"/>
          <w:spacing w:val="-12"/>
          <w:sz w:val="32"/>
          <w:szCs w:val="32"/>
        </w:rPr>
        <w:t>，成本控制在预算</w:t>
      </w:r>
      <w:r>
        <w:rPr>
          <w:rFonts w:hAnsi="仿宋" w:eastAsia="仿宋_GB2312" w:cs="仿宋"/>
          <w:spacing w:val="-18"/>
          <w:sz w:val="32"/>
          <w:szCs w:val="32"/>
        </w:rPr>
        <w:t>范围</w:t>
      </w:r>
      <w:r>
        <w:rPr>
          <w:rFonts w:hAnsi="仿宋" w:eastAsia="仿宋_GB2312" w:cs="仿宋"/>
          <w:spacing w:val="-9"/>
          <w:sz w:val="32"/>
          <w:szCs w:val="32"/>
        </w:rPr>
        <w:t>内，提高区域社会稳定性，提升临空经济区市容环境。</w:t>
      </w:r>
    </w:p>
    <w:p>
      <w:pPr>
        <w:snapToGrid w:val="0"/>
        <w:spacing w:line="560" w:lineRule="exact"/>
        <w:ind w:firstLine="652" w:firstLineChars="200"/>
        <w:rPr>
          <w:rFonts w:eastAsia="仿宋_GB2312" w:cs="楷体"/>
          <w:sz w:val="32"/>
          <w:szCs w:val="32"/>
        </w:rPr>
      </w:pPr>
      <w:r>
        <w:rPr>
          <w:rFonts w:hint="eastAsia" w:eastAsia="仿宋_GB2312" w:cs="楷体"/>
          <w:spacing w:val="3"/>
          <w:sz w:val="32"/>
          <w:szCs w:val="32"/>
          <w:lang w:eastAsia="zh-CN"/>
        </w:rPr>
        <w:t>11.</w:t>
      </w:r>
      <w:r>
        <w:rPr>
          <w:rFonts w:hAnsi="楷体" w:eastAsia="仿宋_GB2312" w:cs="楷体"/>
          <w:spacing w:val="3"/>
          <w:sz w:val="32"/>
          <w:szCs w:val="32"/>
        </w:rPr>
        <w:t>完成财政预算绩效管理机制工</w:t>
      </w:r>
      <w:r>
        <w:rPr>
          <w:rFonts w:hAnsi="楷体" w:eastAsia="仿宋_GB2312" w:cs="楷体"/>
          <w:spacing w:val="2"/>
          <w:sz w:val="32"/>
          <w:szCs w:val="32"/>
        </w:rPr>
        <w:t>作</w:t>
      </w:r>
    </w:p>
    <w:p>
      <w:pPr>
        <w:snapToGrid w:val="0"/>
        <w:spacing w:line="560" w:lineRule="exact"/>
        <w:ind w:firstLine="616" w:firstLineChars="200"/>
        <w:rPr>
          <w:rFonts w:eastAsia="仿宋_GB2312" w:cs="仿宋"/>
          <w:sz w:val="32"/>
          <w:szCs w:val="32"/>
        </w:rPr>
      </w:pPr>
      <w:r>
        <w:rPr>
          <w:rFonts w:hAnsi="仿宋" w:eastAsia="仿宋_GB2312" w:cs="仿宋"/>
          <w:spacing w:val="-6"/>
          <w:sz w:val="32"/>
          <w:szCs w:val="32"/>
        </w:rPr>
        <w:t>绩效目标：深入贯彻落实党中央、国务院关于全面实施预算</w:t>
      </w:r>
      <w:r>
        <w:rPr>
          <w:rFonts w:hAnsi="仿宋" w:eastAsia="仿宋_GB2312" w:cs="仿宋"/>
          <w:spacing w:val="-3"/>
          <w:sz w:val="32"/>
          <w:szCs w:val="32"/>
        </w:rPr>
        <w:t>绩</w:t>
      </w:r>
      <w:r>
        <w:rPr>
          <w:rFonts w:hAnsi="仿宋" w:eastAsia="仿宋_GB2312" w:cs="仿宋"/>
          <w:spacing w:val="-27"/>
          <w:sz w:val="32"/>
          <w:szCs w:val="32"/>
        </w:rPr>
        <w:t>效</w:t>
      </w:r>
      <w:r>
        <w:rPr>
          <w:rFonts w:hAnsi="仿宋" w:eastAsia="仿宋_GB2312" w:cs="仿宋"/>
          <w:spacing w:val="-24"/>
          <w:sz w:val="32"/>
          <w:szCs w:val="32"/>
        </w:rPr>
        <w:t>管理决策部署，精心谋划、认真组织，严把预算绩效各道关口，扎</w:t>
      </w:r>
      <w:r>
        <w:rPr>
          <w:rFonts w:hAnsi="仿宋" w:eastAsia="仿宋_GB2312" w:cs="仿宋"/>
          <w:spacing w:val="-19"/>
          <w:sz w:val="32"/>
          <w:szCs w:val="32"/>
        </w:rPr>
        <w:t>实</w:t>
      </w:r>
      <w:r>
        <w:rPr>
          <w:rFonts w:hAnsi="仿宋" w:eastAsia="仿宋_GB2312" w:cs="仿宋"/>
          <w:spacing w:val="-11"/>
          <w:sz w:val="32"/>
          <w:szCs w:val="32"/>
        </w:rPr>
        <w:t>推进预算和绩效管理一体化进程。</w:t>
      </w:r>
    </w:p>
    <w:p>
      <w:pPr>
        <w:pStyle w:val="26"/>
        <w:snapToGrid w:val="0"/>
        <w:spacing w:line="560" w:lineRule="exact"/>
        <w:ind w:firstLine="600" w:firstLineChars="200"/>
        <w:rPr>
          <w:rFonts w:eastAsia="仿宋_GB2312"/>
          <w:sz w:val="32"/>
          <w:szCs w:val="32"/>
          <w:lang w:eastAsia="zh-CN"/>
        </w:rPr>
      </w:pPr>
      <w:r>
        <w:rPr>
          <w:rFonts w:hAnsi="仿宋" w:eastAsia="仿宋_GB2312" w:cs="仿宋"/>
          <w:spacing w:val="-10"/>
          <w:sz w:val="32"/>
          <w:szCs w:val="32"/>
        </w:rPr>
        <w:t>绩</w:t>
      </w:r>
      <w:r>
        <w:rPr>
          <w:rFonts w:hAnsi="仿宋" w:eastAsia="仿宋_GB2312" w:cs="仿宋"/>
          <w:spacing w:val="-8"/>
          <w:sz w:val="32"/>
          <w:szCs w:val="32"/>
        </w:rPr>
        <w:t>效指标：通过项目的开展，完成预算绩效管理培训</w:t>
      </w:r>
      <w:r>
        <w:rPr>
          <w:rFonts w:eastAsia="仿宋_GB2312"/>
          <w:spacing w:val="-8"/>
          <w:sz w:val="32"/>
          <w:szCs w:val="32"/>
        </w:rPr>
        <w:t>7</w:t>
      </w:r>
      <w:r>
        <w:rPr>
          <w:rFonts w:hAnsi="仿宋" w:eastAsia="仿宋_GB2312" w:cs="仿宋"/>
          <w:spacing w:val="-8"/>
          <w:sz w:val="32"/>
          <w:szCs w:val="32"/>
        </w:rPr>
        <w:t>场，新</w:t>
      </w:r>
      <w:r>
        <w:rPr>
          <w:rFonts w:hAnsi="仿宋" w:eastAsia="仿宋_GB2312" w:cs="仿宋"/>
          <w:spacing w:val="-17"/>
          <w:sz w:val="32"/>
          <w:szCs w:val="32"/>
        </w:rPr>
        <w:t>增</w:t>
      </w:r>
      <w:r>
        <w:rPr>
          <w:rFonts w:hAnsi="仿宋" w:eastAsia="仿宋_GB2312" w:cs="仿宋"/>
          <w:spacing w:val="-13"/>
          <w:sz w:val="32"/>
          <w:szCs w:val="32"/>
        </w:rPr>
        <w:t>项目事前绩效评估</w:t>
      </w:r>
      <w:r>
        <w:rPr>
          <w:rFonts w:eastAsia="仿宋_GB2312"/>
          <w:spacing w:val="-13"/>
          <w:sz w:val="32"/>
          <w:szCs w:val="32"/>
        </w:rPr>
        <w:t>40</w:t>
      </w:r>
      <w:r>
        <w:rPr>
          <w:rFonts w:hAnsi="仿宋" w:eastAsia="仿宋_GB2312" w:cs="仿宋"/>
          <w:spacing w:val="-13"/>
          <w:sz w:val="32"/>
          <w:szCs w:val="32"/>
        </w:rPr>
        <w:t>个，项目中期评估</w:t>
      </w:r>
      <w:r>
        <w:rPr>
          <w:rFonts w:eastAsia="仿宋_GB2312"/>
          <w:spacing w:val="-13"/>
          <w:sz w:val="32"/>
          <w:szCs w:val="32"/>
        </w:rPr>
        <w:t>9</w:t>
      </w:r>
      <w:r>
        <w:rPr>
          <w:rFonts w:hAnsi="仿宋" w:eastAsia="仿宋_GB2312" w:cs="仿宋"/>
          <w:spacing w:val="-13"/>
          <w:sz w:val="32"/>
          <w:szCs w:val="32"/>
        </w:rPr>
        <w:t>个，项目重点绩效评价</w:t>
      </w:r>
      <w:r>
        <w:rPr>
          <w:rFonts w:eastAsia="仿宋_GB2312"/>
          <w:spacing w:val="-9"/>
          <w:sz w:val="32"/>
          <w:szCs w:val="32"/>
        </w:rPr>
        <w:t>9</w:t>
      </w:r>
      <w:r>
        <w:rPr>
          <w:rFonts w:hAnsi="仿宋" w:eastAsia="仿宋_GB2312" w:cs="仿宋"/>
          <w:spacing w:val="-9"/>
          <w:sz w:val="32"/>
          <w:szCs w:val="32"/>
        </w:rPr>
        <w:t>个，制定支出定额标准</w:t>
      </w:r>
      <w:r>
        <w:rPr>
          <w:rFonts w:eastAsia="仿宋_GB2312"/>
          <w:spacing w:val="-9"/>
          <w:sz w:val="32"/>
          <w:szCs w:val="32"/>
        </w:rPr>
        <w:t>20</w:t>
      </w:r>
      <w:r>
        <w:rPr>
          <w:rFonts w:hAnsi="仿宋" w:eastAsia="仿宋_GB2312" w:cs="仿宋"/>
          <w:spacing w:val="-9"/>
          <w:sz w:val="32"/>
          <w:szCs w:val="32"/>
        </w:rPr>
        <w:t>个，成本控制在预算范围内，实现财</w:t>
      </w:r>
      <w:r>
        <w:rPr>
          <w:rFonts w:hAnsi="仿宋" w:eastAsia="仿宋_GB2312" w:cs="仿宋"/>
          <w:spacing w:val="-4"/>
          <w:sz w:val="32"/>
          <w:szCs w:val="32"/>
        </w:rPr>
        <w:t>政</w:t>
      </w:r>
      <w:r>
        <w:rPr>
          <w:rFonts w:hAnsi="仿宋" w:eastAsia="仿宋_GB2312" w:cs="仿宋"/>
          <w:spacing w:val="-18"/>
          <w:sz w:val="32"/>
          <w:szCs w:val="32"/>
        </w:rPr>
        <w:t>资金</w:t>
      </w:r>
      <w:r>
        <w:rPr>
          <w:rFonts w:hAnsi="仿宋" w:eastAsia="仿宋_GB2312" w:cs="仿宋"/>
          <w:spacing w:val="-9"/>
          <w:sz w:val="32"/>
          <w:szCs w:val="32"/>
        </w:rPr>
        <w:t>降本增效，提升临空区各部门预算绩效管理意识。</w:t>
      </w:r>
    </w:p>
    <w:p>
      <w:pPr>
        <w:spacing w:line="560" w:lineRule="exact"/>
        <w:ind w:firstLine="640" w:firstLineChars="200"/>
        <w:rPr>
          <w:sz w:val="32"/>
          <w:szCs w:val="32"/>
        </w:rPr>
      </w:pPr>
      <w:r>
        <w:rPr>
          <w:rFonts w:eastAsia="方正仿宋_GBK" w:cs="Times New Roman"/>
          <w:color w:val="000000"/>
          <w:sz w:val="32"/>
          <w:szCs w:val="32"/>
        </w:rPr>
        <w:t>（三）工作保障措施</w:t>
      </w:r>
    </w:p>
    <w:p>
      <w:pPr>
        <w:snapToGrid w:val="0"/>
        <w:spacing w:line="560" w:lineRule="exact"/>
        <w:ind w:firstLine="704" w:firstLineChars="200"/>
        <w:rPr>
          <w:rFonts w:eastAsia="仿宋_GB2312" w:cs="楷体"/>
          <w:sz w:val="32"/>
          <w:szCs w:val="32"/>
        </w:rPr>
      </w:pPr>
      <w:r>
        <w:rPr>
          <w:rFonts w:hint="eastAsia" w:eastAsia="仿宋_GB2312" w:cs="楷体"/>
          <w:spacing w:val="16"/>
          <w:sz w:val="32"/>
          <w:szCs w:val="32"/>
          <w:lang w:eastAsia="zh-CN"/>
        </w:rPr>
        <w:t>1.</w:t>
      </w:r>
      <w:r>
        <w:rPr>
          <w:rFonts w:hAnsi="楷体" w:eastAsia="仿宋_GB2312" w:cs="楷体"/>
          <w:spacing w:val="11"/>
          <w:sz w:val="32"/>
          <w:szCs w:val="32"/>
        </w:rPr>
        <w:t>完善制度建设</w:t>
      </w:r>
    </w:p>
    <w:p>
      <w:pPr>
        <w:snapToGrid w:val="0"/>
        <w:spacing w:line="560" w:lineRule="exact"/>
        <w:ind w:firstLine="592" w:firstLineChars="200"/>
        <w:rPr>
          <w:rFonts w:eastAsia="仿宋_GB2312" w:cs="仿宋"/>
          <w:sz w:val="32"/>
          <w:szCs w:val="32"/>
        </w:rPr>
      </w:pPr>
      <w:r>
        <w:rPr>
          <w:rFonts w:hAnsi="仿宋" w:eastAsia="仿宋_GB2312" w:cs="仿宋"/>
          <w:spacing w:val="-12"/>
          <w:sz w:val="32"/>
          <w:szCs w:val="32"/>
        </w:rPr>
        <w:t>制</w:t>
      </w:r>
      <w:r>
        <w:rPr>
          <w:rFonts w:hAnsi="仿宋" w:eastAsia="仿宋_GB2312" w:cs="仿宋"/>
          <w:spacing w:val="-9"/>
          <w:sz w:val="32"/>
          <w:szCs w:val="32"/>
        </w:rPr>
        <w:t>定</w:t>
      </w:r>
      <w:r>
        <w:rPr>
          <w:rFonts w:hAnsi="仿宋" w:eastAsia="仿宋_GB2312" w:cs="仿宋"/>
          <w:spacing w:val="-6"/>
          <w:sz w:val="32"/>
          <w:szCs w:val="32"/>
        </w:rPr>
        <w:t>完善预算绩效管理制度，将预算绩效管理纳入预算绩效管</w:t>
      </w:r>
      <w:r>
        <w:rPr>
          <w:rFonts w:hAnsi="仿宋" w:eastAsia="仿宋_GB2312" w:cs="仿宋"/>
          <w:spacing w:val="-22"/>
          <w:sz w:val="32"/>
          <w:szCs w:val="32"/>
        </w:rPr>
        <w:t>理</w:t>
      </w:r>
      <w:r>
        <w:rPr>
          <w:rFonts w:hAnsi="仿宋" w:eastAsia="仿宋_GB2312" w:cs="仿宋"/>
          <w:spacing w:val="-15"/>
          <w:sz w:val="32"/>
          <w:szCs w:val="32"/>
        </w:rPr>
        <w:t>全过程。在编报专项支出预算时，要制定绩效目标，对新增项目超</w:t>
      </w:r>
      <w:r>
        <w:rPr>
          <w:rFonts w:hAnsi="仿宋" w:eastAsia="仿宋_GB2312" w:cs="仿宋"/>
          <w:spacing w:val="-19"/>
          <w:sz w:val="32"/>
          <w:szCs w:val="32"/>
        </w:rPr>
        <w:t>过</w:t>
      </w:r>
      <w:r>
        <w:rPr>
          <w:rFonts w:eastAsia="仿宋_GB2312"/>
          <w:spacing w:val="-16"/>
          <w:sz w:val="32"/>
          <w:szCs w:val="32"/>
        </w:rPr>
        <w:t>10</w:t>
      </w:r>
      <w:r>
        <w:rPr>
          <w:rFonts w:hAnsi="仿宋" w:eastAsia="仿宋_GB2312" w:cs="仿宋"/>
          <w:spacing w:val="-16"/>
          <w:sz w:val="32"/>
          <w:szCs w:val="32"/>
        </w:rPr>
        <w:t>万元的项目要进行绩效评估。在预算执行过程中，要进行事中</w:t>
      </w:r>
      <w:r>
        <w:rPr>
          <w:rFonts w:hAnsi="仿宋" w:eastAsia="仿宋_GB2312" w:cs="仿宋"/>
          <w:spacing w:val="-24"/>
          <w:sz w:val="32"/>
          <w:szCs w:val="32"/>
        </w:rPr>
        <w:t>跟</w:t>
      </w:r>
      <w:r>
        <w:rPr>
          <w:rFonts w:hAnsi="仿宋" w:eastAsia="仿宋_GB2312" w:cs="仿宋"/>
          <w:spacing w:val="-15"/>
          <w:sz w:val="32"/>
          <w:szCs w:val="32"/>
        </w:rPr>
        <w:t>踪。项目执行完毕，要进行绩效评价。完善资金管理办法，包括收</w:t>
      </w:r>
      <w:r>
        <w:rPr>
          <w:rFonts w:hAnsi="仿宋" w:eastAsia="仿宋_GB2312" w:cs="仿宋"/>
          <w:spacing w:val="-19"/>
          <w:sz w:val="32"/>
          <w:szCs w:val="32"/>
        </w:rPr>
        <w:t>入</w:t>
      </w:r>
      <w:r>
        <w:rPr>
          <w:rFonts w:hAnsi="仿宋" w:eastAsia="仿宋_GB2312" w:cs="仿宋"/>
          <w:spacing w:val="-15"/>
          <w:sz w:val="32"/>
          <w:szCs w:val="32"/>
        </w:rPr>
        <w:t>管理制度、支出管理制度、采购管理制度、会计核算管理制度、会</w:t>
      </w:r>
      <w:r>
        <w:rPr>
          <w:rFonts w:hAnsi="仿宋" w:eastAsia="仿宋_GB2312" w:cs="仿宋"/>
          <w:spacing w:val="-16"/>
          <w:sz w:val="32"/>
          <w:szCs w:val="32"/>
        </w:rPr>
        <w:t>计</w:t>
      </w:r>
      <w:r>
        <w:rPr>
          <w:rFonts w:hAnsi="仿宋" w:eastAsia="仿宋_GB2312" w:cs="仿宋"/>
          <w:spacing w:val="-15"/>
          <w:sz w:val="32"/>
          <w:szCs w:val="32"/>
        </w:rPr>
        <w:t>监督管理制度、内部牵制管理制度、财产清查管理制度、专项资金</w:t>
      </w:r>
      <w:r>
        <w:rPr>
          <w:rFonts w:hAnsi="仿宋" w:eastAsia="仿宋_GB2312" w:cs="仿宋"/>
          <w:spacing w:val="-21"/>
          <w:sz w:val="32"/>
          <w:szCs w:val="32"/>
        </w:rPr>
        <w:t>管</w:t>
      </w:r>
      <w:r>
        <w:rPr>
          <w:rFonts w:hAnsi="仿宋" w:eastAsia="仿宋_GB2312" w:cs="仿宋"/>
          <w:spacing w:val="-11"/>
          <w:sz w:val="32"/>
          <w:szCs w:val="32"/>
        </w:rPr>
        <w:t>理制度、预决算公开制度。</w:t>
      </w:r>
    </w:p>
    <w:p>
      <w:pPr>
        <w:snapToGrid w:val="0"/>
        <w:spacing w:line="560" w:lineRule="exact"/>
        <w:ind w:firstLine="704" w:firstLineChars="200"/>
        <w:rPr>
          <w:rFonts w:eastAsia="仿宋_GB2312" w:cs="楷体"/>
          <w:sz w:val="32"/>
          <w:szCs w:val="32"/>
        </w:rPr>
      </w:pPr>
      <w:r>
        <w:rPr>
          <w:rFonts w:hint="eastAsia" w:eastAsia="仿宋_GB2312" w:cs="楷体"/>
          <w:spacing w:val="16"/>
          <w:sz w:val="32"/>
          <w:szCs w:val="32"/>
          <w:lang w:eastAsia="zh-CN"/>
        </w:rPr>
        <w:t>2.</w:t>
      </w:r>
      <w:r>
        <w:rPr>
          <w:rFonts w:hAnsi="楷体" w:eastAsia="仿宋_GB2312" w:cs="楷体"/>
          <w:spacing w:val="11"/>
          <w:sz w:val="32"/>
          <w:szCs w:val="32"/>
        </w:rPr>
        <w:t>加强支出管理</w:t>
      </w:r>
    </w:p>
    <w:p>
      <w:pPr>
        <w:snapToGrid w:val="0"/>
        <w:spacing w:line="560" w:lineRule="exact"/>
        <w:ind w:firstLine="608" w:firstLineChars="200"/>
        <w:rPr>
          <w:rFonts w:eastAsia="仿宋_GB2312" w:cs="仿宋"/>
          <w:sz w:val="32"/>
          <w:szCs w:val="32"/>
        </w:rPr>
      </w:pPr>
      <w:r>
        <w:rPr>
          <w:rFonts w:hAnsi="仿宋" w:eastAsia="仿宋_GB2312" w:cs="仿宋"/>
          <w:spacing w:val="-8"/>
          <w:sz w:val="32"/>
          <w:szCs w:val="32"/>
        </w:rPr>
        <w:t>坚</w:t>
      </w:r>
      <w:r>
        <w:rPr>
          <w:rFonts w:hAnsi="仿宋" w:eastAsia="仿宋_GB2312" w:cs="仿宋"/>
          <w:spacing w:val="-5"/>
          <w:sz w:val="32"/>
          <w:szCs w:val="32"/>
        </w:rPr>
        <w:t>持先批后办、预算控制和重要财务支出事项重点审批控制原</w:t>
      </w:r>
      <w:r>
        <w:rPr>
          <w:rFonts w:hAnsi="仿宋" w:eastAsia="仿宋_GB2312" w:cs="仿宋"/>
          <w:spacing w:val="-23"/>
          <w:sz w:val="32"/>
          <w:szCs w:val="32"/>
        </w:rPr>
        <w:t>则</w:t>
      </w:r>
      <w:r>
        <w:rPr>
          <w:rFonts w:hAnsi="仿宋" w:eastAsia="仿宋_GB2312" w:cs="仿宋"/>
          <w:spacing w:val="-15"/>
          <w:sz w:val="32"/>
          <w:szCs w:val="32"/>
        </w:rPr>
        <w:t>。优化支出结构，精细编实预算，加快履行政府采购手续，尽快启</w:t>
      </w:r>
      <w:r>
        <w:rPr>
          <w:rFonts w:hAnsi="仿宋" w:eastAsia="仿宋_GB2312" w:cs="仿宋"/>
          <w:spacing w:val="-22"/>
          <w:sz w:val="32"/>
          <w:szCs w:val="32"/>
        </w:rPr>
        <w:t>动</w:t>
      </w:r>
      <w:r>
        <w:rPr>
          <w:rFonts w:hAnsi="仿宋" w:eastAsia="仿宋_GB2312" w:cs="仿宋"/>
          <w:spacing w:val="-17"/>
          <w:sz w:val="32"/>
          <w:szCs w:val="32"/>
        </w:rPr>
        <w:t>项</w:t>
      </w:r>
      <w:r>
        <w:rPr>
          <w:rFonts w:hAnsi="仿宋" w:eastAsia="仿宋_GB2312" w:cs="仿宋"/>
          <w:spacing w:val="-11"/>
          <w:sz w:val="32"/>
          <w:szCs w:val="32"/>
        </w:rPr>
        <w:t>目，及时支付资金，确保</w:t>
      </w:r>
      <w:r>
        <w:rPr>
          <w:rFonts w:eastAsia="仿宋_GB2312"/>
          <w:spacing w:val="-11"/>
          <w:sz w:val="32"/>
          <w:szCs w:val="32"/>
        </w:rPr>
        <w:t>6</w:t>
      </w:r>
      <w:r>
        <w:rPr>
          <w:rFonts w:hAnsi="仿宋" w:eastAsia="仿宋_GB2312" w:cs="仿宋"/>
          <w:spacing w:val="-11"/>
          <w:sz w:val="32"/>
          <w:szCs w:val="32"/>
        </w:rPr>
        <w:t>月底前支出进度达到</w:t>
      </w:r>
      <w:r>
        <w:rPr>
          <w:rFonts w:eastAsia="仿宋_GB2312"/>
          <w:spacing w:val="-11"/>
          <w:sz w:val="32"/>
          <w:szCs w:val="32"/>
        </w:rPr>
        <w:t>60%</w:t>
      </w:r>
      <w:r>
        <w:rPr>
          <w:rFonts w:hAnsi="仿宋" w:eastAsia="仿宋_GB2312" w:cs="仿宋"/>
          <w:spacing w:val="-11"/>
          <w:sz w:val="32"/>
          <w:szCs w:val="32"/>
        </w:rPr>
        <w:t>，</w:t>
      </w:r>
      <w:r>
        <w:rPr>
          <w:rFonts w:eastAsia="仿宋_GB2312"/>
          <w:spacing w:val="-11"/>
          <w:sz w:val="32"/>
          <w:szCs w:val="32"/>
        </w:rPr>
        <w:t>10</w:t>
      </w:r>
      <w:r>
        <w:rPr>
          <w:rFonts w:hAnsi="仿宋" w:eastAsia="仿宋_GB2312" w:cs="仿宋"/>
          <w:spacing w:val="-11"/>
          <w:sz w:val="32"/>
          <w:szCs w:val="32"/>
        </w:rPr>
        <w:t>月底</w:t>
      </w:r>
      <w:r>
        <w:rPr>
          <w:rFonts w:hAnsi="仿宋" w:eastAsia="仿宋_GB2312" w:cs="仿宋"/>
          <w:spacing w:val="-15"/>
          <w:sz w:val="32"/>
          <w:szCs w:val="32"/>
        </w:rPr>
        <w:t>前达到</w:t>
      </w:r>
      <w:r>
        <w:rPr>
          <w:rFonts w:eastAsia="仿宋_GB2312"/>
          <w:spacing w:val="-15"/>
          <w:sz w:val="32"/>
          <w:szCs w:val="32"/>
        </w:rPr>
        <w:t>90%</w:t>
      </w:r>
      <w:r>
        <w:rPr>
          <w:rFonts w:hAnsi="仿宋" w:eastAsia="仿宋_GB2312" w:cs="仿宋"/>
          <w:spacing w:val="-14"/>
          <w:sz w:val="32"/>
          <w:szCs w:val="32"/>
        </w:rPr>
        <w:t>。</w:t>
      </w:r>
    </w:p>
    <w:p>
      <w:pPr>
        <w:snapToGrid w:val="0"/>
        <w:spacing w:line="560" w:lineRule="exact"/>
        <w:ind w:firstLine="684" w:firstLineChars="200"/>
        <w:rPr>
          <w:rFonts w:eastAsia="仿宋_GB2312" w:cs="楷体"/>
          <w:sz w:val="32"/>
          <w:szCs w:val="32"/>
        </w:rPr>
      </w:pPr>
      <w:r>
        <w:rPr>
          <w:rFonts w:hint="eastAsia" w:eastAsia="仿宋_GB2312" w:cs="楷体"/>
          <w:spacing w:val="11"/>
          <w:sz w:val="32"/>
          <w:szCs w:val="32"/>
          <w:lang w:eastAsia="zh-CN"/>
        </w:rPr>
        <w:t>3.</w:t>
      </w:r>
      <w:r>
        <w:rPr>
          <w:rFonts w:hAnsi="楷体" w:eastAsia="仿宋_GB2312" w:cs="楷体"/>
          <w:spacing w:val="7"/>
          <w:sz w:val="32"/>
          <w:szCs w:val="32"/>
        </w:rPr>
        <w:t>加强绩效运行监控。</w:t>
      </w:r>
    </w:p>
    <w:p>
      <w:pPr>
        <w:snapToGrid w:val="0"/>
        <w:spacing w:line="560" w:lineRule="exact"/>
        <w:ind w:firstLine="608" w:firstLineChars="200"/>
        <w:rPr>
          <w:rFonts w:eastAsia="仿宋_GB2312" w:cs="仿宋"/>
          <w:sz w:val="32"/>
          <w:szCs w:val="32"/>
        </w:rPr>
      </w:pPr>
      <w:r>
        <w:rPr>
          <w:rFonts w:hAnsi="仿宋" w:eastAsia="仿宋_GB2312" w:cs="仿宋"/>
          <w:spacing w:val="-8"/>
          <w:sz w:val="32"/>
          <w:szCs w:val="32"/>
        </w:rPr>
        <w:t>在预算执行</w:t>
      </w:r>
      <w:r>
        <w:rPr>
          <w:rFonts w:hAnsi="仿宋" w:eastAsia="仿宋_GB2312" w:cs="仿宋"/>
          <w:spacing w:val="-4"/>
          <w:sz w:val="32"/>
          <w:szCs w:val="32"/>
        </w:rPr>
        <w:t>过程中，要进行事中跟踪，及时了解项目进展情况</w:t>
      </w:r>
      <w:r>
        <w:rPr>
          <w:rFonts w:hAnsi="仿宋" w:eastAsia="仿宋_GB2312" w:cs="仿宋"/>
          <w:spacing w:val="-10"/>
          <w:sz w:val="32"/>
          <w:szCs w:val="32"/>
        </w:rPr>
        <w:t>并</w:t>
      </w:r>
      <w:r>
        <w:rPr>
          <w:rFonts w:hAnsi="仿宋" w:eastAsia="仿宋_GB2312" w:cs="仿宋"/>
          <w:spacing w:val="-5"/>
          <w:sz w:val="32"/>
          <w:szCs w:val="32"/>
        </w:rPr>
        <w:t>与年初绩效目标进行对比分析，发现问题及时采取措施，确保绩</w:t>
      </w:r>
      <w:r>
        <w:rPr>
          <w:rFonts w:hAnsi="仿宋" w:eastAsia="仿宋_GB2312" w:cs="仿宋"/>
          <w:spacing w:val="-18"/>
          <w:sz w:val="32"/>
          <w:szCs w:val="32"/>
        </w:rPr>
        <w:t>效</w:t>
      </w:r>
      <w:r>
        <w:rPr>
          <w:rFonts w:hAnsi="仿宋" w:eastAsia="仿宋_GB2312" w:cs="仿宋"/>
          <w:spacing w:val="-13"/>
          <w:sz w:val="32"/>
          <w:szCs w:val="32"/>
        </w:rPr>
        <w:t>目标如期保质实现。</w:t>
      </w:r>
    </w:p>
    <w:p>
      <w:pPr>
        <w:snapToGrid w:val="0"/>
        <w:spacing w:line="560" w:lineRule="exact"/>
        <w:ind w:firstLine="680" w:firstLineChars="200"/>
        <w:rPr>
          <w:rFonts w:eastAsia="仿宋_GB2312" w:cs="楷体"/>
          <w:sz w:val="32"/>
          <w:szCs w:val="32"/>
        </w:rPr>
      </w:pPr>
      <w:r>
        <w:rPr>
          <w:rFonts w:hint="eastAsia" w:eastAsia="仿宋_GB2312" w:cs="楷体"/>
          <w:spacing w:val="10"/>
          <w:sz w:val="32"/>
          <w:szCs w:val="32"/>
          <w:lang w:eastAsia="zh-CN"/>
        </w:rPr>
        <w:t>4.</w:t>
      </w:r>
      <w:r>
        <w:rPr>
          <w:rFonts w:hAnsi="楷体" w:eastAsia="仿宋_GB2312" w:cs="楷体"/>
          <w:spacing w:val="10"/>
          <w:sz w:val="32"/>
          <w:szCs w:val="32"/>
        </w:rPr>
        <w:t>做好绩效自评</w:t>
      </w:r>
      <w:r>
        <w:rPr>
          <w:rFonts w:hAnsi="楷体" w:eastAsia="仿宋_GB2312" w:cs="楷体"/>
          <w:spacing w:val="8"/>
          <w:sz w:val="32"/>
          <w:szCs w:val="32"/>
        </w:rPr>
        <w:t>。</w:t>
      </w:r>
    </w:p>
    <w:p>
      <w:pPr>
        <w:snapToGrid w:val="0"/>
        <w:spacing w:line="560" w:lineRule="exact"/>
        <w:ind w:firstLine="552" w:firstLineChars="200"/>
        <w:rPr>
          <w:rFonts w:eastAsia="仿宋_GB2312" w:cs="仿宋"/>
          <w:sz w:val="32"/>
          <w:szCs w:val="32"/>
        </w:rPr>
      </w:pPr>
      <w:r>
        <w:rPr>
          <w:rFonts w:hAnsi="仿宋" w:eastAsia="仿宋_GB2312" w:cs="仿宋"/>
          <w:spacing w:val="-22"/>
          <w:sz w:val="32"/>
          <w:szCs w:val="32"/>
        </w:rPr>
        <w:t>项</w:t>
      </w:r>
      <w:r>
        <w:rPr>
          <w:rFonts w:hAnsi="仿宋" w:eastAsia="仿宋_GB2312" w:cs="仿宋"/>
          <w:spacing w:val="-15"/>
          <w:sz w:val="32"/>
          <w:szCs w:val="32"/>
        </w:rPr>
        <w:t>目执行完毕，要根据年初制定绩效目标，进行绩效评价，主要评审专项资金管理执行制度情况，包括审查资金支付是否与项目进</w:t>
      </w:r>
      <w:r>
        <w:rPr>
          <w:rFonts w:hAnsi="仿宋" w:eastAsia="仿宋_GB2312" w:cs="仿宋"/>
          <w:spacing w:val="-10"/>
          <w:sz w:val="32"/>
          <w:szCs w:val="32"/>
        </w:rPr>
        <w:t>度</w:t>
      </w:r>
      <w:r>
        <w:rPr>
          <w:rFonts w:hAnsi="仿宋" w:eastAsia="仿宋_GB2312" w:cs="仿宋"/>
          <w:spacing w:val="-15"/>
          <w:sz w:val="32"/>
          <w:szCs w:val="32"/>
        </w:rPr>
        <w:t>相适应；资金的使用和管理是否存在截留、挤占、挪用情况；招标</w:t>
      </w:r>
      <w:r>
        <w:rPr>
          <w:rFonts w:hAnsi="仿宋" w:eastAsia="仿宋_GB2312" w:cs="仿宋"/>
          <w:spacing w:val="-10"/>
          <w:sz w:val="32"/>
          <w:szCs w:val="32"/>
        </w:rPr>
        <w:t>资</w:t>
      </w:r>
      <w:r>
        <w:rPr>
          <w:rFonts w:hAnsi="仿宋" w:eastAsia="仿宋_GB2312" w:cs="仿宋"/>
          <w:spacing w:val="-8"/>
          <w:sz w:val="32"/>
          <w:szCs w:val="32"/>
        </w:rPr>
        <w:t>金支付是否</w:t>
      </w:r>
      <w:r>
        <w:rPr>
          <w:rFonts w:hAnsi="仿宋" w:eastAsia="仿宋_GB2312" w:cs="仿宋"/>
          <w:spacing w:val="-4"/>
          <w:sz w:val="32"/>
          <w:szCs w:val="32"/>
        </w:rPr>
        <w:t>按政府采购和国库集中支付有关规定进行招标和拨付资</w:t>
      </w:r>
      <w:r>
        <w:rPr>
          <w:rFonts w:hAnsi="仿宋" w:eastAsia="仿宋_GB2312" w:cs="仿宋"/>
          <w:spacing w:val="-28"/>
          <w:sz w:val="32"/>
          <w:szCs w:val="32"/>
        </w:rPr>
        <w:t>金</w:t>
      </w:r>
      <w:r>
        <w:rPr>
          <w:rFonts w:hAnsi="仿宋" w:eastAsia="仿宋_GB2312" w:cs="仿宋"/>
          <w:spacing w:val="-22"/>
          <w:sz w:val="32"/>
          <w:szCs w:val="32"/>
        </w:rPr>
        <w:t>。</w:t>
      </w:r>
      <w:r>
        <w:rPr>
          <w:rFonts w:hAnsi="仿宋" w:eastAsia="仿宋_GB2312" w:cs="仿宋"/>
          <w:spacing w:val="-14"/>
          <w:sz w:val="32"/>
          <w:szCs w:val="32"/>
        </w:rPr>
        <w:t>并根据评价结果认真进行分析研究，努力查找资金使用和管理中</w:t>
      </w:r>
      <w:r>
        <w:rPr>
          <w:rFonts w:hAnsi="仿宋" w:eastAsia="仿宋_GB2312" w:cs="仿宋"/>
          <w:spacing w:val="-15"/>
          <w:sz w:val="32"/>
          <w:szCs w:val="32"/>
        </w:rPr>
        <w:t>的薄弱环节，制定改进和提高财务管理工作的有效措施。并将评价</w:t>
      </w:r>
      <w:r>
        <w:rPr>
          <w:rFonts w:hAnsi="仿宋" w:eastAsia="仿宋_GB2312" w:cs="仿宋"/>
          <w:spacing w:val="-10"/>
          <w:sz w:val="32"/>
          <w:szCs w:val="32"/>
        </w:rPr>
        <w:t>结</w:t>
      </w:r>
      <w:r>
        <w:rPr>
          <w:rFonts w:hAnsi="仿宋" w:eastAsia="仿宋_GB2312" w:cs="仿宋"/>
          <w:spacing w:val="-11"/>
          <w:sz w:val="32"/>
          <w:szCs w:val="32"/>
        </w:rPr>
        <w:t>果作为下一年度编报预算的参考运用，形成一个闭式循环</w:t>
      </w:r>
      <w:r>
        <w:rPr>
          <w:rFonts w:hAnsi="仿宋" w:eastAsia="仿宋_GB2312" w:cs="仿宋"/>
          <w:spacing w:val="-10"/>
          <w:sz w:val="32"/>
          <w:szCs w:val="32"/>
        </w:rPr>
        <w:t>。</w:t>
      </w:r>
    </w:p>
    <w:p>
      <w:pPr>
        <w:pStyle w:val="27"/>
        <w:snapToGrid w:val="0"/>
        <w:spacing w:line="560" w:lineRule="exact"/>
        <w:ind w:firstLine="684" w:firstLineChars="200"/>
        <w:rPr>
          <w:rFonts w:eastAsia="仿宋_GB2312" w:cs="楷体"/>
          <w:spacing w:val="7"/>
          <w:sz w:val="32"/>
          <w:szCs w:val="32"/>
          <w:lang w:eastAsia="zh-CN"/>
        </w:rPr>
      </w:pPr>
      <w:r>
        <w:rPr>
          <w:rFonts w:hint="eastAsia" w:eastAsia="仿宋_GB2312" w:cs="楷体"/>
          <w:spacing w:val="11"/>
          <w:sz w:val="32"/>
          <w:szCs w:val="32"/>
          <w:lang w:eastAsia="zh-CN"/>
        </w:rPr>
        <w:t>5.</w:t>
      </w:r>
      <w:r>
        <w:rPr>
          <w:rFonts w:hAnsi="楷体" w:eastAsia="仿宋_GB2312" w:cs="楷体"/>
          <w:spacing w:val="7"/>
          <w:sz w:val="32"/>
          <w:szCs w:val="32"/>
        </w:rPr>
        <w:t>规范财务资产管理。</w:t>
      </w:r>
    </w:p>
    <w:p>
      <w:pPr>
        <w:snapToGrid w:val="0"/>
        <w:spacing w:line="560" w:lineRule="exact"/>
        <w:ind w:firstLine="592" w:firstLineChars="200"/>
        <w:rPr>
          <w:rFonts w:eastAsia="仿宋_GB2312" w:cs="仿宋"/>
          <w:sz w:val="32"/>
          <w:szCs w:val="32"/>
        </w:rPr>
      </w:pPr>
      <w:r>
        <w:rPr>
          <w:rFonts w:hAnsi="仿宋" w:eastAsia="仿宋_GB2312" w:cs="仿宋"/>
          <w:spacing w:val="-12"/>
          <w:sz w:val="32"/>
          <w:szCs w:val="32"/>
        </w:rPr>
        <w:t>完善</w:t>
      </w:r>
      <w:r>
        <w:rPr>
          <w:rFonts w:hAnsi="仿宋" w:eastAsia="仿宋_GB2312" w:cs="仿宋"/>
          <w:spacing w:val="-11"/>
          <w:sz w:val="32"/>
          <w:szCs w:val="32"/>
        </w:rPr>
        <w:t>财</w:t>
      </w:r>
      <w:r>
        <w:rPr>
          <w:rFonts w:hAnsi="仿宋" w:eastAsia="仿宋_GB2312" w:cs="仿宋"/>
          <w:spacing w:val="-6"/>
          <w:sz w:val="32"/>
          <w:szCs w:val="32"/>
        </w:rPr>
        <w:t>务管理制度，严格审批程序，加强固定资产登记、使用</w:t>
      </w:r>
      <w:r>
        <w:rPr>
          <w:rFonts w:hAnsi="仿宋" w:eastAsia="仿宋_GB2312" w:cs="仿宋"/>
          <w:spacing w:val="-20"/>
          <w:sz w:val="32"/>
          <w:szCs w:val="32"/>
        </w:rPr>
        <w:t>和</w:t>
      </w:r>
      <w:r>
        <w:rPr>
          <w:rFonts w:hAnsi="仿宋" w:eastAsia="仿宋_GB2312" w:cs="仿宋"/>
          <w:spacing w:val="-14"/>
          <w:sz w:val="32"/>
          <w:szCs w:val="32"/>
        </w:rPr>
        <w:t>报</w:t>
      </w:r>
      <w:r>
        <w:rPr>
          <w:rFonts w:hAnsi="仿宋" w:eastAsia="仿宋_GB2312" w:cs="仿宋"/>
          <w:spacing w:val="-10"/>
          <w:sz w:val="32"/>
          <w:szCs w:val="32"/>
        </w:rPr>
        <w:t>废处置管理，做到支出合理，物尽其用。</w:t>
      </w:r>
    </w:p>
    <w:p>
      <w:pPr>
        <w:snapToGrid w:val="0"/>
        <w:spacing w:line="560" w:lineRule="exact"/>
        <w:ind w:firstLine="704" w:firstLineChars="200"/>
        <w:rPr>
          <w:rFonts w:eastAsia="仿宋_GB2312" w:cs="楷体"/>
          <w:sz w:val="32"/>
          <w:szCs w:val="32"/>
        </w:rPr>
      </w:pPr>
      <w:r>
        <w:rPr>
          <w:rFonts w:hint="eastAsia" w:eastAsia="仿宋_GB2312" w:cs="楷体"/>
          <w:spacing w:val="16"/>
          <w:sz w:val="32"/>
          <w:szCs w:val="32"/>
          <w:lang w:eastAsia="zh-CN"/>
        </w:rPr>
        <w:t>6.</w:t>
      </w:r>
      <w:r>
        <w:rPr>
          <w:rFonts w:hAnsi="楷体" w:eastAsia="仿宋_GB2312" w:cs="楷体"/>
          <w:spacing w:val="11"/>
          <w:sz w:val="32"/>
          <w:szCs w:val="32"/>
        </w:rPr>
        <w:t>加强内部监督</w:t>
      </w:r>
    </w:p>
    <w:p>
      <w:pPr>
        <w:snapToGrid w:val="0"/>
        <w:spacing w:line="560" w:lineRule="exact"/>
        <w:ind w:firstLine="608" w:firstLineChars="200"/>
        <w:rPr>
          <w:rFonts w:eastAsia="仿宋_GB2312" w:cs="仿宋"/>
          <w:sz w:val="32"/>
          <w:szCs w:val="32"/>
        </w:rPr>
      </w:pPr>
      <w:r>
        <w:rPr>
          <w:rFonts w:hAnsi="仿宋" w:eastAsia="仿宋_GB2312" w:cs="仿宋"/>
          <w:spacing w:val="-8"/>
          <w:sz w:val="32"/>
          <w:szCs w:val="32"/>
        </w:rPr>
        <w:t>建立内</w:t>
      </w:r>
      <w:r>
        <w:rPr>
          <w:rFonts w:hAnsi="仿宋" w:eastAsia="仿宋_GB2312" w:cs="仿宋"/>
          <w:spacing w:val="-6"/>
          <w:sz w:val="32"/>
          <w:szCs w:val="32"/>
        </w:rPr>
        <w:t>部</w:t>
      </w:r>
      <w:r>
        <w:rPr>
          <w:rFonts w:hAnsi="仿宋" w:eastAsia="仿宋_GB2312" w:cs="仿宋"/>
          <w:spacing w:val="-4"/>
          <w:sz w:val="32"/>
          <w:szCs w:val="32"/>
        </w:rPr>
        <w:t>牵制制度，不相容职务分离制度，聘请会计师事务所</w:t>
      </w:r>
      <w:r>
        <w:rPr>
          <w:rFonts w:hAnsi="仿宋" w:eastAsia="仿宋_GB2312" w:cs="仿宋"/>
          <w:spacing w:val="-5"/>
          <w:sz w:val="32"/>
          <w:szCs w:val="32"/>
        </w:rPr>
        <w:t>对重大支出决策、对外投资、资产处置及其他重要经济业务事项的</w:t>
      </w:r>
      <w:r>
        <w:rPr>
          <w:rFonts w:hAnsi="仿宋" w:eastAsia="仿宋_GB2312" w:cs="仿宋"/>
          <w:spacing w:val="-24"/>
          <w:sz w:val="32"/>
          <w:szCs w:val="32"/>
        </w:rPr>
        <w:t>决策和执行进行督导。配备专职内审人员，进行内部审计，并配合</w:t>
      </w:r>
      <w:r>
        <w:rPr>
          <w:rFonts w:hAnsi="仿宋" w:eastAsia="仿宋_GB2312" w:cs="仿宋"/>
          <w:spacing w:val="-20"/>
          <w:sz w:val="32"/>
          <w:szCs w:val="32"/>
        </w:rPr>
        <w:t>做</w:t>
      </w:r>
      <w:r>
        <w:rPr>
          <w:rFonts w:hAnsi="仿宋" w:eastAsia="仿宋_GB2312" w:cs="仿宋"/>
          <w:spacing w:val="-18"/>
          <w:sz w:val="32"/>
          <w:szCs w:val="32"/>
        </w:rPr>
        <w:t>好审</w:t>
      </w:r>
      <w:r>
        <w:rPr>
          <w:rFonts w:hAnsi="仿宋" w:eastAsia="仿宋_GB2312" w:cs="仿宋"/>
          <w:spacing w:val="-12"/>
          <w:sz w:val="32"/>
          <w:szCs w:val="32"/>
        </w:rPr>
        <w:t>计</w:t>
      </w:r>
      <w:r>
        <w:rPr>
          <w:rFonts w:hAnsi="仿宋" w:eastAsia="仿宋_GB2312" w:cs="仿宋"/>
          <w:spacing w:val="-9"/>
          <w:sz w:val="32"/>
          <w:szCs w:val="32"/>
        </w:rPr>
        <w:t>、财政监督等外部监督工作，确保财政资金安全有效。</w:t>
      </w:r>
    </w:p>
    <w:p>
      <w:pPr>
        <w:snapToGrid w:val="0"/>
        <w:spacing w:line="560" w:lineRule="exact"/>
        <w:ind w:firstLine="696" w:firstLineChars="200"/>
        <w:rPr>
          <w:rFonts w:eastAsia="仿宋_GB2312" w:cs="楷体"/>
          <w:sz w:val="32"/>
          <w:szCs w:val="32"/>
        </w:rPr>
      </w:pPr>
      <w:r>
        <w:rPr>
          <w:rFonts w:hint="eastAsia" w:eastAsia="仿宋_GB2312" w:cs="楷体"/>
          <w:spacing w:val="14"/>
          <w:sz w:val="32"/>
          <w:szCs w:val="32"/>
          <w:lang w:eastAsia="zh-CN"/>
        </w:rPr>
        <w:t>7.</w:t>
      </w:r>
      <w:r>
        <w:rPr>
          <w:rFonts w:hAnsi="楷体" w:eastAsia="仿宋_GB2312" w:cs="楷体"/>
          <w:spacing w:val="8"/>
          <w:sz w:val="32"/>
          <w:szCs w:val="32"/>
        </w:rPr>
        <w:t>加强宣传培训调研</w:t>
      </w:r>
    </w:p>
    <w:p>
      <w:pPr>
        <w:snapToGrid w:val="0"/>
        <w:spacing w:line="560" w:lineRule="exact"/>
        <w:ind w:firstLine="520" w:firstLineChars="200"/>
        <w:rPr>
          <w:rFonts w:eastAsia="仿宋_GB2312" w:cs="仿宋"/>
          <w:sz w:val="32"/>
          <w:szCs w:val="32"/>
        </w:rPr>
      </w:pPr>
      <w:r>
        <w:rPr>
          <w:rFonts w:hAnsi="仿宋" w:eastAsia="仿宋_GB2312" w:cs="仿宋"/>
          <w:spacing w:val="-30"/>
          <w:sz w:val="32"/>
          <w:szCs w:val="32"/>
        </w:rPr>
        <w:t>加</w:t>
      </w:r>
      <w:r>
        <w:rPr>
          <w:rFonts w:hAnsi="仿宋" w:eastAsia="仿宋_GB2312" w:cs="仿宋"/>
          <w:spacing w:val="-20"/>
          <w:sz w:val="32"/>
          <w:szCs w:val="32"/>
        </w:rPr>
        <w:t>强</w:t>
      </w:r>
      <w:r>
        <w:rPr>
          <w:rFonts w:hAnsi="仿宋" w:eastAsia="仿宋_GB2312" w:cs="仿宋"/>
          <w:spacing w:val="-15"/>
          <w:sz w:val="32"/>
          <w:szCs w:val="32"/>
        </w:rPr>
        <w:t>人员培训，提高本部门职工业务素质；加强调研，提出优化</w:t>
      </w:r>
      <w:r>
        <w:rPr>
          <w:rFonts w:hAnsi="仿宋" w:eastAsia="仿宋_GB2312" w:cs="仿宋"/>
          <w:spacing w:val="-22"/>
          <w:sz w:val="32"/>
          <w:szCs w:val="32"/>
        </w:rPr>
        <w:t>财</w:t>
      </w:r>
      <w:r>
        <w:rPr>
          <w:rFonts w:hAnsi="仿宋" w:eastAsia="仿宋_GB2312" w:cs="仿宋"/>
          <w:spacing w:val="-15"/>
          <w:sz w:val="32"/>
          <w:szCs w:val="32"/>
        </w:rPr>
        <w:t>政资金配置、提高资金使用效益的建议；加大宣传力度，强化预算</w:t>
      </w:r>
      <w:r>
        <w:rPr>
          <w:rFonts w:hAnsi="仿宋" w:eastAsia="仿宋_GB2312" w:cs="仿宋"/>
          <w:spacing w:val="-14"/>
          <w:sz w:val="32"/>
          <w:szCs w:val="32"/>
        </w:rPr>
        <w:t>绩</w:t>
      </w:r>
      <w:r>
        <w:rPr>
          <w:rFonts w:hAnsi="仿宋" w:eastAsia="仿宋_GB2312" w:cs="仿宋"/>
          <w:spacing w:val="-10"/>
          <w:sz w:val="32"/>
          <w:szCs w:val="32"/>
        </w:rPr>
        <w:t>效管理意识，促进预算绩效管理水平进一步提升。</w:t>
      </w:r>
    </w:p>
    <w:p>
      <w:pPr>
        <w:snapToGrid w:val="0"/>
        <w:spacing w:line="560" w:lineRule="exact"/>
        <w:ind w:firstLine="704" w:firstLineChars="200"/>
        <w:rPr>
          <w:rFonts w:eastAsia="仿宋_GB2312" w:cs="楷体"/>
          <w:sz w:val="32"/>
          <w:szCs w:val="32"/>
        </w:rPr>
      </w:pPr>
      <w:r>
        <w:rPr>
          <w:rFonts w:hint="eastAsia" w:eastAsia="仿宋_GB2312" w:cs="楷体"/>
          <w:spacing w:val="16"/>
          <w:sz w:val="32"/>
          <w:szCs w:val="32"/>
          <w:lang w:eastAsia="zh-CN"/>
        </w:rPr>
        <w:t>8.</w:t>
      </w:r>
      <w:r>
        <w:rPr>
          <w:rFonts w:hAnsi="楷体" w:eastAsia="仿宋_GB2312" w:cs="楷体"/>
          <w:spacing w:val="11"/>
          <w:sz w:val="32"/>
          <w:szCs w:val="32"/>
        </w:rPr>
        <w:t>把握总体进度</w:t>
      </w:r>
    </w:p>
    <w:p>
      <w:pPr>
        <w:snapToGrid w:val="0"/>
        <w:spacing w:line="560" w:lineRule="exact"/>
        <w:ind w:firstLine="520" w:firstLineChars="200"/>
        <w:rPr>
          <w:rFonts w:hAnsi="仿宋" w:eastAsia="仿宋_GB2312" w:cs="仿宋"/>
          <w:spacing w:val="-30"/>
          <w:sz w:val="32"/>
          <w:szCs w:val="32"/>
          <w:lang w:eastAsia="zh-CN"/>
        </w:rPr>
      </w:pPr>
      <w:r>
        <w:rPr>
          <w:rFonts w:hAnsi="仿宋" w:eastAsia="仿宋_GB2312" w:cs="仿宋"/>
          <w:spacing w:val="-30"/>
          <w:sz w:val="32"/>
          <w:szCs w:val="32"/>
        </w:rPr>
        <w:t>各部门要落实工作责任，切实发挥各自职能，做好同国家、省对口单位的协调联系，积极主动争取上级政策支持，全方位推进新机场和临空经济区建设。临空管委会要总体协调进度，准确掌握新机场建设涉及各项工作进展情况，及时协调督导各部门进度，确保各项重点工作牵头部门和参与部门各司其职、各负其责、密切协作、积极配合。</w:t>
      </w:r>
    </w:p>
    <w:p>
      <w:pPr>
        <w:snapToGrid w:val="0"/>
        <w:spacing w:line="560" w:lineRule="exact"/>
        <w:ind w:firstLine="704" w:firstLineChars="200"/>
        <w:rPr>
          <w:rFonts w:eastAsia="仿宋_GB2312" w:cs="楷体"/>
          <w:spacing w:val="16"/>
          <w:sz w:val="32"/>
          <w:szCs w:val="32"/>
          <w:lang w:eastAsia="zh-CN"/>
        </w:rPr>
      </w:pPr>
      <w:r>
        <w:rPr>
          <w:rFonts w:hint="eastAsia" w:eastAsia="仿宋_GB2312" w:cs="楷体"/>
          <w:spacing w:val="16"/>
          <w:sz w:val="32"/>
          <w:szCs w:val="32"/>
          <w:lang w:eastAsia="zh-CN"/>
        </w:rPr>
        <w:t>（四）部门整体支出绩效指标</w:t>
      </w:r>
    </w:p>
    <w:tbl>
      <w:tblPr>
        <w:tblStyle w:val="8"/>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24"/>
        <w:gridCol w:w="886"/>
        <w:gridCol w:w="2455"/>
        <w:gridCol w:w="2948"/>
        <w:gridCol w:w="2403"/>
        <w:gridCol w:w="853"/>
        <w:gridCol w:w="750"/>
        <w:gridCol w:w="784"/>
        <w:gridCol w:w="2114"/>
      </w:tblGrid>
      <w:tr>
        <w:trPr>
          <w:trHeight w:val="326" w:hRule="atLeast"/>
          <w:tblHeader/>
          <w:jc w:val="center"/>
        </w:trPr>
        <w:tc>
          <w:tcPr>
            <w:tcW w:w="924" w:type="dxa"/>
            <w:vMerge w:val="restart"/>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一级</w:t>
            </w:r>
          </w:p>
          <w:p>
            <w:pPr>
              <w:adjustRightInd w:val="0"/>
              <w:snapToGrid w:val="0"/>
              <w:spacing w:line="584" w:lineRule="exact"/>
              <w:jc w:val="center"/>
              <w:rPr>
                <w:rFonts w:eastAsia="宋体"/>
                <w:b/>
                <w:sz w:val="21"/>
                <w:szCs w:val="21"/>
              </w:rPr>
            </w:pPr>
            <w:r>
              <w:rPr>
                <w:rFonts w:eastAsia="宋体"/>
                <w:b/>
                <w:sz w:val="21"/>
                <w:szCs w:val="21"/>
              </w:rPr>
              <w:t>指标</w:t>
            </w:r>
          </w:p>
        </w:tc>
        <w:tc>
          <w:tcPr>
            <w:tcW w:w="886" w:type="dxa"/>
            <w:vMerge w:val="restart"/>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二级</w:t>
            </w:r>
          </w:p>
          <w:p>
            <w:pPr>
              <w:adjustRightInd w:val="0"/>
              <w:snapToGrid w:val="0"/>
              <w:spacing w:line="584" w:lineRule="exact"/>
              <w:jc w:val="center"/>
              <w:rPr>
                <w:rFonts w:eastAsia="宋体"/>
                <w:b/>
                <w:sz w:val="21"/>
                <w:szCs w:val="21"/>
              </w:rPr>
            </w:pPr>
            <w:r>
              <w:rPr>
                <w:rFonts w:eastAsia="宋体"/>
                <w:b/>
                <w:sz w:val="21"/>
                <w:szCs w:val="21"/>
              </w:rPr>
              <w:t>指标</w:t>
            </w:r>
          </w:p>
        </w:tc>
        <w:tc>
          <w:tcPr>
            <w:tcW w:w="2455" w:type="dxa"/>
            <w:vMerge w:val="restart"/>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三级指标</w:t>
            </w:r>
          </w:p>
        </w:tc>
        <w:tc>
          <w:tcPr>
            <w:tcW w:w="2948" w:type="dxa"/>
            <w:vMerge w:val="restart"/>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评（扣）分标准</w:t>
            </w:r>
          </w:p>
        </w:tc>
        <w:tc>
          <w:tcPr>
            <w:tcW w:w="2403" w:type="dxa"/>
            <w:vMerge w:val="restart"/>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绩效指标</w:t>
            </w:r>
          </w:p>
          <w:p>
            <w:pPr>
              <w:adjustRightInd w:val="0"/>
              <w:snapToGrid w:val="0"/>
              <w:spacing w:line="584" w:lineRule="exact"/>
              <w:jc w:val="center"/>
              <w:rPr>
                <w:rFonts w:eastAsia="宋体"/>
                <w:b/>
                <w:sz w:val="21"/>
                <w:szCs w:val="21"/>
              </w:rPr>
            </w:pPr>
            <w:r>
              <w:rPr>
                <w:rFonts w:eastAsia="宋体"/>
                <w:b/>
                <w:sz w:val="21"/>
                <w:szCs w:val="21"/>
              </w:rPr>
              <w:t>描述</w:t>
            </w:r>
          </w:p>
        </w:tc>
        <w:tc>
          <w:tcPr>
            <w:tcW w:w="2387" w:type="dxa"/>
            <w:gridSpan w:val="3"/>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指标值</w:t>
            </w:r>
          </w:p>
        </w:tc>
        <w:tc>
          <w:tcPr>
            <w:tcW w:w="2114" w:type="dxa"/>
            <w:vMerge w:val="restart"/>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指标值</w:t>
            </w:r>
          </w:p>
          <w:p>
            <w:pPr>
              <w:adjustRightInd w:val="0"/>
              <w:snapToGrid w:val="0"/>
              <w:spacing w:line="584" w:lineRule="exact"/>
              <w:jc w:val="center"/>
              <w:rPr>
                <w:rFonts w:eastAsia="宋体"/>
                <w:b/>
                <w:sz w:val="21"/>
                <w:szCs w:val="21"/>
              </w:rPr>
            </w:pPr>
            <w:r>
              <w:rPr>
                <w:rFonts w:eastAsia="宋体"/>
                <w:b/>
                <w:sz w:val="21"/>
                <w:szCs w:val="21"/>
              </w:rPr>
              <w:t>确定依据</w:t>
            </w:r>
          </w:p>
        </w:tc>
      </w:tr>
      <w:tr>
        <w:trPr>
          <w:trHeight w:val="533" w:hRule="atLeast"/>
          <w:tblHeader/>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vMerge w:val="continue"/>
            <w:tcBorders>
              <w:tl2br w:val="nil"/>
              <w:tr2bl w:val="nil"/>
            </w:tcBorders>
            <w:vAlign w:val="center"/>
          </w:tcPr>
          <w:p>
            <w:pPr>
              <w:spacing w:line="584" w:lineRule="exact"/>
              <w:jc w:val="center"/>
              <w:rPr>
                <w:rFonts w:eastAsia="宋体"/>
                <w:sz w:val="21"/>
                <w:szCs w:val="21"/>
              </w:rPr>
            </w:pPr>
          </w:p>
        </w:tc>
        <w:tc>
          <w:tcPr>
            <w:tcW w:w="2455" w:type="dxa"/>
            <w:vMerge w:val="continue"/>
            <w:tcBorders>
              <w:tl2br w:val="nil"/>
              <w:tr2bl w:val="nil"/>
            </w:tcBorders>
            <w:vAlign w:val="center"/>
          </w:tcPr>
          <w:p>
            <w:pPr>
              <w:spacing w:line="584" w:lineRule="exact"/>
              <w:rPr>
                <w:rFonts w:eastAsia="宋体"/>
                <w:sz w:val="21"/>
                <w:szCs w:val="21"/>
              </w:rPr>
            </w:pPr>
          </w:p>
        </w:tc>
        <w:tc>
          <w:tcPr>
            <w:tcW w:w="2948" w:type="dxa"/>
            <w:vMerge w:val="continue"/>
            <w:tcBorders>
              <w:tl2br w:val="nil"/>
              <w:tr2bl w:val="nil"/>
            </w:tcBorders>
            <w:vAlign w:val="center"/>
          </w:tcPr>
          <w:p>
            <w:pPr>
              <w:spacing w:line="584" w:lineRule="exact"/>
              <w:rPr>
                <w:rFonts w:eastAsia="宋体"/>
                <w:sz w:val="21"/>
                <w:szCs w:val="21"/>
              </w:rPr>
            </w:pPr>
          </w:p>
        </w:tc>
        <w:tc>
          <w:tcPr>
            <w:tcW w:w="2403" w:type="dxa"/>
            <w:vMerge w:val="continue"/>
            <w:tcBorders>
              <w:tl2br w:val="nil"/>
              <w:tr2bl w:val="nil"/>
            </w:tcBorders>
            <w:vAlign w:val="center"/>
          </w:tcPr>
          <w:p>
            <w:pPr>
              <w:spacing w:line="584" w:lineRule="exact"/>
              <w:rPr>
                <w:rFonts w:eastAsia="宋体"/>
                <w:sz w:val="21"/>
                <w:szCs w:val="21"/>
              </w:rPr>
            </w:pPr>
          </w:p>
        </w:tc>
        <w:tc>
          <w:tcPr>
            <w:tcW w:w="853" w:type="dxa"/>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符号</w:t>
            </w:r>
          </w:p>
        </w:tc>
        <w:tc>
          <w:tcPr>
            <w:tcW w:w="750" w:type="dxa"/>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值</w:t>
            </w:r>
          </w:p>
        </w:tc>
        <w:tc>
          <w:tcPr>
            <w:tcW w:w="784" w:type="dxa"/>
            <w:tcBorders>
              <w:tl2br w:val="nil"/>
              <w:tr2bl w:val="nil"/>
            </w:tcBorders>
            <w:vAlign w:val="center"/>
          </w:tcPr>
          <w:p>
            <w:pPr>
              <w:adjustRightInd w:val="0"/>
              <w:snapToGrid w:val="0"/>
              <w:spacing w:line="584" w:lineRule="exact"/>
              <w:jc w:val="center"/>
              <w:rPr>
                <w:rFonts w:eastAsia="宋体"/>
                <w:b/>
                <w:sz w:val="21"/>
                <w:szCs w:val="21"/>
              </w:rPr>
            </w:pPr>
            <w:r>
              <w:rPr>
                <w:rFonts w:eastAsia="宋体"/>
                <w:b/>
                <w:sz w:val="21"/>
                <w:szCs w:val="21"/>
              </w:rPr>
              <w:t>单位</w:t>
            </w:r>
          </w:p>
        </w:tc>
        <w:tc>
          <w:tcPr>
            <w:tcW w:w="2114" w:type="dxa"/>
            <w:vMerge w:val="continue"/>
            <w:tcBorders>
              <w:tl2br w:val="nil"/>
              <w:tr2bl w:val="nil"/>
            </w:tcBorders>
            <w:vAlign w:val="center"/>
          </w:tcPr>
          <w:p>
            <w:pPr>
              <w:spacing w:line="584" w:lineRule="exact"/>
              <w:jc w:val="center"/>
              <w:rPr>
                <w:rFonts w:eastAsia="宋体"/>
                <w:sz w:val="21"/>
                <w:szCs w:val="21"/>
              </w:rPr>
            </w:pPr>
          </w:p>
        </w:tc>
      </w:tr>
      <w:tr>
        <w:trPr>
          <w:trHeight w:val="594" w:hRule="atLeast"/>
          <w:jc w:val="center"/>
        </w:trPr>
        <w:tc>
          <w:tcPr>
            <w:tcW w:w="924" w:type="dxa"/>
            <w:vMerge w:val="restart"/>
            <w:tcBorders>
              <w:tl2br w:val="nil"/>
              <w:tr2bl w:val="nil"/>
            </w:tcBorders>
            <w:vAlign w:val="center"/>
          </w:tcPr>
          <w:p>
            <w:pPr>
              <w:adjustRightInd w:val="0"/>
              <w:snapToGrid w:val="0"/>
              <w:spacing w:line="584" w:lineRule="exact"/>
              <w:jc w:val="center"/>
              <w:rPr>
                <w:rFonts w:eastAsia="宋体"/>
                <w:sz w:val="21"/>
                <w:szCs w:val="21"/>
              </w:rPr>
            </w:pPr>
            <w:r>
              <w:rPr>
                <w:rFonts w:eastAsia="宋体"/>
                <w:sz w:val="21"/>
                <w:szCs w:val="21"/>
              </w:rPr>
              <w:t>部门</w:t>
            </w:r>
          </w:p>
          <w:p>
            <w:pPr>
              <w:adjustRightInd w:val="0"/>
              <w:snapToGrid w:val="0"/>
              <w:spacing w:line="584" w:lineRule="exact"/>
              <w:jc w:val="center"/>
              <w:rPr>
                <w:rFonts w:eastAsia="宋体"/>
                <w:sz w:val="21"/>
                <w:szCs w:val="21"/>
              </w:rPr>
            </w:pPr>
            <w:r>
              <w:rPr>
                <w:rFonts w:eastAsia="宋体"/>
                <w:sz w:val="21"/>
                <w:szCs w:val="21"/>
              </w:rPr>
              <w:t>产出</w:t>
            </w: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新增注册优质企业数量</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达到目标值得满分，每降低1%，扣权重分5%，扣完为止。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新增注册优质企业数量</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1500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家</w:t>
            </w:r>
          </w:p>
        </w:tc>
        <w:tc>
          <w:tcPr>
            <w:tcW w:w="2114" w:type="dxa"/>
            <w:tcBorders>
              <w:tl2br w:val="nil"/>
              <w:tr2bl w:val="nil"/>
            </w:tcBorders>
            <w:vAlign w:val="center"/>
          </w:tcPr>
          <w:p>
            <w:pPr>
              <w:jc w:val="center"/>
              <w:rPr>
                <w:rFonts w:eastAsia="宋体" w:cs="Times New Roman"/>
                <w:color w:val="000000"/>
                <w:sz w:val="21"/>
                <w:szCs w:val="21"/>
              </w:rPr>
            </w:pPr>
            <w:r>
              <w:rPr>
                <w:rFonts w:eastAsia="宋体"/>
                <w:color w:val="000000"/>
                <w:sz w:val="21"/>
                <w:szCs w:val="21"/>
              </w:rPr>
              <w:t>2023年重点工作谋划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招引落地项目数量</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达到目标值得满分，每降低1%，扣权重分5%，扣完为止。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招引落地项目数量</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120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个</w:t>
            </w:r>
          </w:p>
        </w:tc>
        <w:tc>
          <w:tcPr>
            <w:tcW w:w="2114" w:type="dxa"/>
            <w:tcBorders>
              <w:tl2br w:val="nil"/>
              <w:tr2bl w:val="nil"/>
            </w:tcBorders>
            <w:vAlign w:val="center"/>
          </w:tcPr>
          <w:p>
            <w:pPr>
              <w:jc w:val="center"/>
              <w:rPr>
                <w:rFonts w:eastAsia="宋体" w:cs="Times New Roman"/>
                <w:color w:val="000000"/>
                <w:sz w:val="21"/>
                <w:szCs w:val="21"/>
              </w:rPr>
            </w:pPr>
            <w:r>
              <w:rPr>
                <w:rFonts w:eastAsia="宋体"/>
                <w:color w:val="000000"/>
                <w:sz w:val="21"/>
                <w:szCs w:val="21"/>
              </w:rPr>
              <w:t>2023年重点工作谋划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会展中心建设完成率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各场馆建设完成数量/场馆总数量*100%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建设规划任务单</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园林绿化养护面积</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达到目标值得满分，每减少1万平方米，扣权重分10%，扣完为止。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园林绿化养护面积</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66.80</w:t>
            </w:r>
          </w:p>
        </w:tc>
        <w:tc>
          <w:tcPr>
            <w:tcW w:w="784" w:type="dxa"/>
            <w:tcBorders>
              <w:tl2br w:val="nil"/>
              <w:tr2bl w:val="nil"/>
            </w:tcBorders>
            <w:vAlign w:val="center"/>
          </w:tcPr>
          <w:p>
            <w:pPr>
              <w:jc w:val="center"/>
              <w:rPr>
                <w:rFonts w:eastAsia="宋体"/>
                <w:color w:val="000000"/>
                <w:sz w:val="21"/>
                <w:szCs w:val="21"/>
              </w:rPr>
            </w:pPr>
            <w:r>
              <w:rPr>
                <w:rFonts w:hint="eastAsia" w:eastAsia="宋体"/>
                <w:color w:val="000000"/>
                <w:sz w:val="21"/>
                <w:szCs w:val="21"/>
              </w:rPr>
              <w:t>万平</w:t>
            </w:r>
          </w:p>
          <w:p>
            <w:pPr>
              <w:jc w:val="center"/>
              <w:rPr>
                <w:rFonts w:eastAsia="宋体" w:cs="Times New Roman"/>
                <w:color w:val="000000"/>
                <w:sz w:val="21"/>
                <w:szCs w:val="21"/>
              </w:rPr>
            </w:pPr>
            <w:r>
              <w:rPr>
                <w:rFonts w:hint="eastAsia" w:eastAsia="宋体"/>
                <w:color w:val="000000"/>
                <w:sz w:val="21"/>
                <w:szCs w:val="21"/>
              </w:rPr>
              <w:t>方米</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林业有害生物防治面积</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林业有害生物防治面积</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2345</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公顷</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上级文件要求</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土地转用征收面积</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土地转用征收面积</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6000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亩</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eastAsia="宋体"/>
                <w:color w:val="000000"/>
                <w:sz w:val="21"/>
                <w:szCs w:val="21"/>
              </w:rPr>
              <w:t>国道G105石何营至九州连接线段新建工程建设里程</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国道G105石何营至九州连接线段新建工程建设里程</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5.39</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公里</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临空区控制性详细规划编制成果数量</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临空区控制性详细规划编制成果数量</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2</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套</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建成区、建设区、待建区网格巡查购买服务</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达到目标值得满分，每减少1人，扣权重分10%，扣完为止。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建成区、建设区、待建区网格巡查购买服务人员数量</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50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人</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临空区信息宣传媒体发稿量</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达到目标值得满分，每减少1篇扣权重分5%，扣完为止。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考察新闻媒体发稿量情况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200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篇</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数量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财政支出定额标准制定数量</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财政支出定额标准制定数量</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20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个</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招引工作落实率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达到目标值得满分，每降低1%，扣权重分2%，扣完为止。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招商项目实际落地数量/计划落地项目总数量*100%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植物成活率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植物成活数量/总数量*100%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工程验收合格率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验收合格数量/工程总数量*100%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eastAsia="宋体"/>
                <w:color w:val="000000"/>
                <w:sz w:val="21"/>
                <w:szCs w:val="21"/>
              </w:rPr>
              <w:t>工作计划、合同</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林业有害生物防治工作达标率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工作达标数量/计划总数量*100%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控制性详细规划评审通过率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评审通过数量/规划成果总数量*100%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建成区、建设区、待建区网格巡查购买服务聘用人员资质达标率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资质达标数量/购买服务人员总数量*100%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稿件发布率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实际发稿数量/计划发稿数量*100%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质量</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支出定额标准工作落实率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实际落实数量/计划开展数量*100%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458"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时效</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各项重点工作完成及时率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重点工作2023年完成数量/重点工作总数量*100%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成本</w:t>
            </w:r>
          </w:p>
        </w:tc>
        <w:tc>
          <w:tcPr>
            <w:tcW w:w="2455" w:type="dxa"/>
            <w:tcBorders>
              <w:tl2br w:val="nil"/>
              <w:tr2bl w:val="nil"/>
            </w:tcBorders>
            <w:vAlign w:val="center"/>
          </w:tcPr>
          <w:p>
            <w:pPr>
              <w:rPr>
                <w:rFonts w:eastAsia="宋体" w:cs="Times New Roman"/>
                <w:color w:val="000000"/>
                <w:sz w:val="21"/>
                <w:szCs w:val="21"/>
              </w:rPr>
            </w:pPr>
            <w:r>
              <w:rPr>
                <w:rFonts w:eastAsia="宋体"/>
                <w:color w:val="000000"/>
                <w:sz w:val="21"/>
                <w:szCs w:val="21"/>
              </w:rPr>
              <w:t>105节点一级养护单平米成本</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考察105节点一级养护单平米成本控制情况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12</w:t>
            </w:r>
          </w:p>
        </w:tc>
        <w:tc>
          <w:tcPr>
            <w:tcW w:w="784" w:type="dxa"/>
            <w:tcBorders>
              <w:tl2br w:val="nil"/>
              <w:tr2bl w:val="nil"/>
            </w:tcBorders>
            <w:vAlign w:val="center"/>
          </w:tcPr>
          <w:p>
            <w:pPr>
              <w:jc w:val="center"/>
              <w:rPr>
                <w:rFonts w:eastAsia="宋体"/>
                <w:color w:val="000000"/>
                <w:sz w:val="21"/>
                <w:szCs w:val="21"/>
              </w:rPr>
            </w:pPr>
            <w:r>
              <w:rPr>
                <w:rFonts w:hint="eastAsia" w:eastAsia="宋体"/>
                <w:color w:val="000000"/>
                <w:sz w:val="21"/>
                <w:szCs w:val="21"/>
              </w:rPr>
              <w:t>元/平</w:t>
            </w:r>
          </w:p>
          <w:p>
            <w:pPr>
              <w:jc w:val="center"/>
              <w:rPr>
                <w:rFonts w:eastAsia="宋体" w:cs="Times New Roman"/>
                <w:color w:val="000000"/>
                <w:sz w:val="21"/>
                <w:szCs w:val="21"/>
              </w:rPr>
            </w:pPr>
            <w:r>
              <w:rPr>
                <w:rFonts w:hint="eastAsia" w:eastAsia="宋体"/>
                <w:color w:val="000000"/>
                <w:sz w:val="21"/>
                <w:szCs w:val="21"/>
              </w:rPr>
              <w:t>方米</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依据合同要求及区域实际养护需求</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成本</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信息宣传项目成本</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考察信息宣传项目成本控制情况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380.567</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万元</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成本</w:t>
            </w:r>
          </w:p>
        </w:tc>
        <w:tc>
          <w:tcPr>
            <w:tcW w:w="2455" w:type="dxa"/>
            <w:tcBorders>
              <w:tl2br w:val="nil"/>
              <w:tr2bl w:val="nil"/>
            </w:tcBorders>
            <w:vAlign w:val="center"/>
          </w:tcPr>
          <w:p>
            <w:pPr>
              <w:rPr>
                <w:rFonts w:eastAsia="宋体" w:cs="Times New Roman"/>
                <w:color w:val="000000"/>
                <w:sz w:val="21"/>
                <w:szCs w:val="21"/>
              </w:rPr>
            </w:pPr>
            <w:r>
              <w:rPr>
                <w:rFonts w:eastAsia="宋体"/>
                <w:color w:val="000000"/>
                <w:sz w:val="21"/>
                <w:szCs w:val="21"/>
              </w:rPr>
              <w:t>国道G105石何营至九州连接线段新建工程项目总成本</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国道G105石何营至九州连接线段新建工程成本控制情况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25219.00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万元</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cs="Times New Roman"/>
                <w:sz w:val="21"/>
                <w:szCs w:val="21"/>
              </w:rPr>
            </w:pPr>
            <w:r>
              <w:rPr>
                <w:rFonts w:eastAsia="宋体"/>
                <w:sz w:val="21"/>
                <w:szCs w:val="21"/>
              </w:rPr>
              <w:t>成本</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林业有害生物防治项目总投入成本</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考察林业有害生物防治项目总投入成本控制情况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150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万元</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行业标准</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成本</w:t>
            </w:r>
          </w:p>
        </w:tc>
        <w:tc>
          <w:tcPr>
            <w:tcW w:w="2455" w:type="dxa"/>
            <w:tcBorders>
              <w:tl2br w:val="nil"/>
              <w:tr2bl w:val="nil"/>
            </w:tcBorders>
            <w:vAlign w:val="center"/>
          </w:tcPr>
          <w:p>
            <w:pPr>
              <w:rPr>
                <w:rFonts w:eastAsia="宋体" w:cs="Times New Roman"/>
                <w:color w:val="000000"/>
                <w:sz w:val="21"/>
                <w:szCs w:val="21"/>
              </w:rPr>
            </w:pPr>
            <w:r>
              <w:rPr>
                <w:rFonts w:eastAsia="宋体"/>
                <w:color w:val="000000"/>
                <w:sz w:val="21"/>
                <w:szCs w:val="21"/>
              </w:rPr>
              <w:t>补充耕地指标调剂资金成本</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支付补充耕地指标调剂资金</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18</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万元</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行业标准</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成本</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网格巡查事项平均成本</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考察网格巡查事项平均成本控制情况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70.1</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万元</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restart"/>
            <w:tcBorders>
              <w:tl2br w:val="nil"/>
              <w:tr2bl w:val="nil"/>
            </w:tcBorders>
            <w:vAlign w:val="center"/>
          </w:tcPr>
          <w:p>
            <w:pPr>
              <w:adjustRightInd w:val="0"/>
              <w:snapToGrid w:val="0"/>
              <w:spacing w:line="584" w:lineRule="exact"/>
              <w:jc w:val="center"/>
              <w:rPr>
                <w:rFonts w:eastAsia="宋体"/>
                <w:sz w:val="21"/>
                <w:szCs w:val="21"/>
              </w:rPr>
            </w:pPr>
            <w:r>
              <w:rPr>
                <w:rFonts w:eastAsia="宋体"/>
                <w:sz w:val="21"/>
                <w:szCs w:val="21"/>
              </w:rPr>
              <w:t>部门</w:t>
            </w:r>
          </w:p>
          <w:p>
            <w:pPr>
              <w:adjustRightInd w:val="0"/>
              <w:snapToGrid w:val="0"/>
              <w:spacing w:line="584" w:lineRule="exact"/>
              <w:jc w:val="center"/>
              <w:rPr>
                <w:rFonts w:eastAsia="宋体"/>
                <w:sz w:val="21"/>
                <w:szCs w:val="21"/>
              </w:rPr>
            </w:pPr>
            <w:r>
              <w:rPr>
                <w:rFonts w:hint="eastAsia" w:eastAsia="宋体"/>
                <w:sz w:val="21"/>
                <w:szCs w:val="21"/>
              </w:rPr>
              <w:t>效果</w:t>
            </w: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经济</w:t>
            </w:r>
          </w:p>
          <w:p>
            <w:pPr>
              <w:adjustRightInd w:val="0"/>
              <w:snapToGrid w:val="0"/>
              <w:jc w:val="center"/>
              <w:rPr>
                <w:rFonts w:eastAsia="宋体"/>
                <w:sz w:val="21"/>
                <w:szCs w:val="21"/>
              </w:rPr>
            </w:pPr>
            <w:r>
              <w:rPr>
                <w:rFonts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平台引税</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考察平台引税情况</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5</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亿元</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社会</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提升区域景观价值</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完成目标值得满分，基本提升得60%-90%权重分，未提升不得分。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通过良好的景观效果，提升区域价值</w:t>
            </w:r>
          </w:p>
        </w:tc>
        <w:tc>
          <w:tcPr>
            <w:tcW w:w="853" w:type="dxa"/>
            <w:tcBorders>
              <w:tl2br w:val="nil"/>
              <w:tr2bl w:val="nil"/>
            </w:tcBorders>
            <w:vAlign w:val="center"/>
          </w:tcPr>
          <w:p>
            <w:pPr>
              <w:jc w:val="center"/>
              <w:rPr>
                <w:rFonts w:eastAsia="宋体" w:cs="Times New Roman"/>
                <w:color w:val="000000"/>
                <w:sz w:val="21"/>
                <w:szCs w:val="21"/>
              </w:rPr>
            </w:pP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提升</w:t>
            </w:r>
          </w:p>
        </w:tc>
        <w:tc>
          <w:tcPr>
            <w:tcW w:w="784" w:type="dxa"/>
            <w:tcBorders>
              <w:tl2br w:val="nil"/>
              <w:tr2bl w:val="nil"/>
            </w:tcBorders>
            <w:vAlign w:val="center"/>
          </w:tcPr>
          <w:p>
            <w:pPr>
              <w:jc w:val="center"/>
              <w:rPr>
                <w:rFonts w:eastAsia="宋体" w:cs="Times New Roman"/>
                <w:color w:val="000000"/>
                <w:sz w:val="21"/>
                <w:szCs w:val="21"/>
              </w:rPr>
            </w:pP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社会</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完善区域路网建设</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完善建设得满分，基本完善得权重分60%-80%，未完善建设不得分。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考察完善区域路网建设情况</w:t>
            </w:r>
          </w:p>
        </w:tc>
        <w:tc>
          <w:tcPr>
            <w:tcW w:w="853" w:type="dxa"/>
            <w:tcBorders>
              <w:tl2br w:val="nil"/>
              <w:tr2bl w:val="nil"/>
            </w:tcBorders>
            <w:vAlign w:val="center"/>
          </w:tcPr>
          <w:p>
            <w:pPr>
              <w:jc w:val="center"/>
              <w:rPr>
                <w:rFonts w:eastAsia="宋体" w:cs="Times New Roman"/>
                <w:color w:val="000000"/>
                <w:sz w:val="21"/>
                <w:szCs w:val="21"/>
              </w:rPr>
            </w:pP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完善建设</w:t>
            </w:r>
          </w:p>
        </w:tc>
        <w:tc>
          <w:tcPr>
            <w:tcW w:w="784" w:type="dxa"/>
            <w:tcBorders>
              <w:tl2br w:val="nil"/>
              <w:tr2bl w:val="nil"/>
            </w:tcBorders>
            <w:vAlign w:val="center"/>
          </w:tcPr>
          <w:p>
            <w:pPr>
              <w:jc w:val="center"/>
              <w:rPr>
                <w:rFonts w:eastAsia="宋体" w:cs="Times New Roman"/>
                <w:color w:val="000000"/>
                <w:sz w:val="21"/>
                <w:szCs w:val="21"/>
              </w:rPr>
            </w:pP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社会</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提升营商服务水平</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完成目标值得满分，基本提升得60%-90%权重分，未提升不得分。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考察营商服务水平提升情况</w:t>
            </w:r>
          </w:p>
        </w:tc>
        <w:tc>
          <w:tcPr>
            <w:tcW w:w="853" w:type="dxa"/>
            <w:tcBorders>
              <w:tl2br w:val="nil"/>
              <w:tr2bl w:val="nil"/>
            </w:tcBorders>
            <w:vAlign w:val="center"/>
          </w:tcPr>
          <w:p>
            <w:pPr>
              <w:jc w:val="center"/>
              <w:rPr>
                <w:rFonts w:eastAsia="宋体" w:cs="Times New Roman"/>
                <w:color w:val="000000"/>
                <w:sz w:val="21"/>
                <w:szCs w:val="21"/>
              </w:rPr>
            </w:pP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提升</w:t>
            </w:r>
          </w:p>
        </w:tc>
        <w:tc>
          <w:tcPr>
            <w:tcW w:w="784" w:type="dxa"/>
            <w:tcBorders>
              <w:tl2br w:val="nil"/>
              <w:tr2bl w:val="nil"/>
            </w:tcBorders>
            <w:vAlign w:val="center"/>
          </w:tcPr>
          <w:p>
            <w:pPr>
              <w:jc w:val="center"/>
              <w:rPr>
                <w:rFonts w:eastAsia="宋体" w:cs="Times New Roman"/>
                <w:color w:val="000000"/>
                <w:sz w:val="21"/>
                <w:szCs w:val="21"/>
              </w:rPr>
            </w:pP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社会</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支出标准利用率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支出标准利用数量/总数量*100%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社会</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信息宣传覆盖率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信息实际发布媒体数量/计划发布数量*100%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eastAsia="宋体"/>
                <w:sz w:val="21"/>
                <w:szCs w:val="21"/>
              </w:rPr>
              <w:t>社会</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vAlign w:val="center"/>
          </w:tcPr>
          <w:p>
            <w:pPr>
              <w:rPr>
                <w:rFonts w:eastAsia="宋体" w:cs="Times New Roman"/>
                <w:color w:val="000000"/>
                <w:sz w:val="21"/>
                <w:szCs w:val="21"/>
              </w:rPr>
            </w:pPr>
            <w:r>
              <w:rPr>
                <w:rFonts w:eastAsia="宋体"/>
                <w:color w:val="000000"/>
                <w:sz w:val="21"/>
                <w:szCs w:val="21"/>
              </w:rPr>
              <w:t>控制性详细规划编制成果利用率</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实际利用数量/总数量*100%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100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61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可持续影响</w:t>
            </w:r>
          </w:p>
        </w:tc>
        <w:tc>
          <w:tcPr>
            <w:tcW w:w="2455" w:type="dxa"/>
            <w:tcBorders>
              <w:tl2br w:val="nil"/>
              <w:tr2bl w:val="nil"/>
            </w:tcBorders>
            <w:vAlign w:val="center"/>
          </w:tcPr>
          <w:p>
            <w:pPr>
              <w:rPr>
                <w:rFonts w:eastAsia="宋体" w:cs="Times New Roman"/>
                <w:color w:val="000000"/>
                <w:sz w:val="21"/>
                <w:szCs w:val="21"/>
              </w:rPr>
            </w:pPr>
            <w:r>
              <w:rPr>
                <w:rFonts w:hint="eastAsia" w:eastAsia="宋体"/>
                <w:color w:val="000000"/>
                <w:sz w:val="21"/>
                <w:szCs w:val="21"/>
              </w:rPr>
              <w:t>实现构建“政务带前期+产服跟到底”一体化服务体系</w:t>
            </w:r>
          </w:p>
        </w:tc>
        <w:tc>
          <w:tcPr>
            <w:tcW w:w="2948" w:type="dxa"/>
            <w:tcBorders>
              <w:tl2br w:val="nil"/>
              <w:tr2bl w:val="nil"/>
            </w:tcBorders>
            <w:vAlign w:val="center"/>
          </w:tcPr>
          <w:p>
            <w:pPr>
              <w:rPr>
                <w:rFonts w:eastAsia="宋体" w:cs="Times New Roman"/>
                <w:color w:val="000000"/>
                <w:sz w:val="21"/>
                <w:szCs w:val="21"/>
              </w:rPr>
            </w:pPr>
            <w:r>
              <w:rPr>
                <w:rFonts w:eastAsia="宋体"/>
                <w:color w:val="000000"/>
                <w:sz w:val="21"/>
                <w:szCs w:val="21"/>
              </w:rPr>
              <w:t>达到目标值得满分，否则不得分。</w:t>
            </w:r>
          </w:p>
        </w:tc>
        <w:tc>
          <w:tcPr>
            <w:tcW w:w="2403" w:type="dxa"/>
            <w:tcBorders>
              <w:tl2br w:val="nil"/>
              <w:tr2bl w:val="nil"/>
            </w:tcBorders>
            <w:vAlign w:val="center"/>
          </w:tcPr>
          <w:p>
            <w:pPr>
              <w:rPr>
                <w:rFonts w:eastAsia="宋体" w:cs="Times New Roman"/>
                <w:color w:val="000000"/>
                <w:sz w:val="21"/>
                <w:szCs w:val="21"/>
              </w:rPr>
            </w:pPr>
            <w:r>
              <w:rPr>
                <w:rFonts w:eastAsia="宋体"/>
                <w:color w:val="000000"/>
                <w:sz w:val="21"/>
                <w:szCs w:val="21"/>
              </w:rPr>
              <w:t>考察构建“政务带前期+产服跟到底”一体化服务体系实现情况</w:t>
            </w:r>
          </w:p>
        </w:tc>
        <w:tc>
          <w:tcPr>
            <w:tcW w:w="853" w:type="dxa"/>
            <w:tcBorders>
              <w:tl2br w:val="nil"/>
              <w:tr2bl w:val="nil"/>
            </w:tcBorders>
            <w:vAlign w:val="center"/>
          </w:tcPr>
          <w:p>
            <w:pPr>
              <w:jc w:val="center"/>
              <w:rPr>
                <w:rFonts w:eastAsia="宋体" w:cs="Times New Roman"/>
                <w:color w:val="000000"/>
                <w:sz w:val="21"/>
                <w:szCs w:val="21"/>
              </w:rPr>
            </w:pP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实现</w:t>
            </w:r>
          </w:p>
        </w:tc>
        <w:tc>
          <w:tcPr>
            <w:tcW w:w="784" w:type="dxa"/>
            <w:tcBorders>
              <w:tl2br w:val="nil"/>
              <w:tr2bl w:val="nil"/>
            </w:tcBorders>
            <w:vAlign w:val="center"/>
          </w:tcPr>
          <w:p>
            <w:pPr>
              <w:jc w:val="center"/>
              <w:rPr>
                <w:rFonts w:eastAsia="宋体" w:cs="Times New Roman"/>
                <w:color w:val="000000"/>
                <w:sz w:val="21"/>
                <w:szCs w:val="21"/>
              </w:rPr>
            </w:pP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770"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生态</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noWrap/>
            <w:vAlign w:val="center"/>
          </w:tcPr>
          <w:p>
            <w:pPr>
              <w:rPr>
                <w:rFonts w:eastAsia="宋体" w:cs="Times New Roman"/>
                <w:color w:val="000000"/>
                <w:sz w:val="21"/>
                <w:szCs w:val="21"/>
              </w:rPr>
            </w:pPr>
            <w:r>
              <w:rPr>
                <w:rFonts w:hint="eastAsia" w:eastAsia="宋体"/>
                <w:color w:val="000000"/>
                <w:sz w:val="21"/>
                <w:szCs w:val="21"/>
              </w:rPr>
              <w:t>提升环境质量</w:t>
            </w:r>
          </w:p>
        </w:tc>
        <w:tc>
          <w:tcPr>
            <w:tcW w:w="2948"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完成目标值得满分，基本提升得60%-90%权重分，未提升不得分。</w:t>
            </w:r>
          </w:p>
        </w:tc>
        <w:tc>
          <w:tcPr>
            <w:tcW w:w="2403"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提升环境质量，促进区域绿色发展</w:t>
            </w:r>
          </w:p>
        </w:tc>
        <w:tc>
          <w:tcPr>
            <w:tcW w:w="853" w:type="dxa"/>
            <w:tcBorders>
              <w:tl2br w:val="nil"/>
              <w:tr2bl w:val="nil"/>
            </w:tcBorders>
            <w:vAlign w:val="center"/>
          </w:tcPr>
          <w:p>
            <w:pPr>
              <w:jc w:val="center"/>
              <w:rPr>
                <w:rFonts w:eastAsia="宋体" w:cs="Times New Roman"/>
                <w:color w:val="000000"/>
                <w:sz w:val="21"/>
                <w:szCs w:val="21"/>
              </w:rPr>
            </w:pP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提升</w:t>
            </w:r>
          </w:p>
        </w:tc>
        <w:tc>
          <w:tcPr>
            <w:tcW w:w="784" w:type="dxa"/>
            <w:tcBorders>
              <w:tl2br w:val="nil"/>
              <w:tr2bl w:val="nil"/>
            </w:tcBorders>
            <w:vAlign w:val="center"/>
          </w:tcPr>
          <w:p>
            <w:pPr>
              <w:jc w:val="center"/>
              <w:rPr>
                <w:rFonts w:eastAsia="宋体" w:cs="Times New Roman"/>
                <w:color w:val="000000"/>
                <w:sz w:val="21"/>
                <w:szCs w:val="21"/>
              </w:rPr>
            </w:pP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工作计划</w:t>
            </w:r>
          </w:p>
        </w:tc>
      </w:tr>
      <w:tr>
        <w:trPr>
          <w:trHeight w:val="770"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生态</w:t>
            </w:r>
          </w:p>
          <w:p>
            <w:pPr>
              <w:adjustRightInd w:val="0"/>
              <w:snapToGrid w:val="0"/>
              <w:jc w:val="center"/>
              <w:rPr>
                <w:rFonts w:eastAsia="宋体"/>
                <w:sz w:val="21"/>
                <w:szCs w:val="21"/>
              </w:rPr>
            </w:pPr>
            <w:r>
              <w:rPr>
                <w:rFonts w:hint="eastAsia" w:eastAsia="宋体"/>
                <w:sz w:val="21"/>
                <w:szCs w:val="21"/>
              </w:rPr>
              <w:t>效益</w:t>
            </w:r>
          </w:p>
        </w:tc>
        <w:tc>
          <w:tcPr>
            <w:tcW w:w="2455" w:type="dxa"/>
            <w:tcBorders>
              <w:tl2br w:val="nil"/>
              <w:tr2bl w:val="nil"/>
            </w:tcBorders>
            <w:noWrap/>
            <w:vAlign w:val="center"/>
          </w:tcPr>
          <w:p>
            <w:pPr>
              <w:rPr>
                <w:rFonts w:eastAsia="宋体" w:cs="Times New Roman"/>
                <w:color w:val="000000"/>
                <w:sz w:val="21"/>
                <w:szCs w:val="21"/>
              </w:rPr>
            </w:pPr>
            <w:r>
              <w:rPr>
                <w:rFonts w:hint="eastAsia" w:eastAsia="宋体"/>
                <w:color w:val="000000"/>
                <w:sz w:val="21"/>
                <w:szCs w:val="21"/>
              </w:rPr>
              <w:t>保护生态环境</w:t>
            </w:r>
          </w:p>
        </w:tc>
        <w:tc>
          <w:tcPr>
            <w:tcW w:w="2948"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有效控制林业有害生物的危害得满分，基本控制得权重分60%-80%，未控制不得分。</w:t>
            </w:r>
          </w:p>
        </w:tc>
        <w:tc>
          <w:tcPr>
            <w:tcW w:w="2403"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通过项目开展，减少对树木产生的危害，保护生态环境。</w:t>
            </w:r>
          </w:p>
        </w:tc>
        <w:tc>
          <w:tcPr>
            <w:tcW w:w="853" w:type="dxa"/>
            <w:tcBorders>
              <w:tl2br w:val="nil"/>
              <w:tr2bl w:val="nil"/>
            </w:tcBorders>
            <w:vAlign w:val="center"/>
          </w:tcPr>
          <w:p>
            <w:pPr>
              <w:jc w:val="center"/>
              <w:rPr>
                <w:rFonts w:eastAsia="宋体" w:cs="Times New Roman"/>
                <w:color w:val="000000"/>
                <w:sz w:val="21"/>
                <w:szCs w:val="21"/>
              </w:rPr>
            </w:pP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有效控制</w:t>
            </w:r>
          </w:p>
        </w:tc>
        <w:tc>
          <w:tcPr>
            <w:tcW w:w="784" w:type="dxa"/>
            <w:tcBorders>
              <w:tl2br w:val="nil"/>
              <w:tr2bl w:val="nil"/>
            </w:tcBorders>
            <w:vAlign w:val="center"/>
          </w:tcPr>
          <w:p>
            <w:pPr>
              <w:jc w:val="center"/>
              <w:rPr>
                <w:rFonts w:eastAsia="宋体" w:cs="Times New Roman"/>
                <w:color w:val="000000"/>
                <w:sz w:val="21"/>
                <w:szCs w:val="21"/>
              </w:rPr>
            </w:pP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据实情况</w:t>
            </w:r>
          </w:p>
        </w:tc>
      </w:tr>
      <w:tr>
        <w:trPr>
          <w:trHeight w:val="60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满意度</w:t>
            </w:r>
          </w:p>
        </w:tc>
        <w:tc>
          <w:tcPr>
            <w:tcW w:w="2455" w:type="dxa"/>
            <w:tcBorders>
              <w:tl2br w:val="nil"/>
              <w:tr2bl w:val="nil"/>
            </w:tcBorders>
            <w:noWrap/>
            <w:vAlign w:val="center"/>
          </w:tcPr>
          <w:p>
            <w:pPr>
              <w:rPr>
                <w:rFonts w:eastAsia="宋体" w:cs="Times New Roman"/>
                <w:color w:val="000000"/>
                <w:sz w:val="21"/>
                <w:szCs w:val="21"/>
              </w:rPr>
            </w:pPr>
            <w:r>
              <w:rPr>
                <w:rFonts w:hint="eastAsia" w:eastAsia="宋体"/>
                <w:color w:val="000000"/>
                <w:sz w:val="21"/>
                <w:szCs w:val="21"/>
              </w:rPr>
              <w:t>区域居民满意度</w:t>
            </w:r>
          </w:p>
        </w:tc>
        <w:tc>
          <w:tcPr>
            <w:tcW w:w="2948"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区域居民对园林绿化养护项目实施的满意人数/调查总人数*100%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调查问卷</w:t>
            </w:r>
          </w:p>
        </w:tc>
      </w:tr>
      <w:tr>
        <w:trPr>
          <w:trHeight w:val="60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满意度</w:t>
            </w:r>
          </w:p>
        </w:tc>
        <w:tc>
          <w:tcPr>
            <w:tcW w:w="2455" w:type="dxa"/>
            <w:tcBorders>
              <w:tl2br w:val="nil"/>
              <w:tr2bl w:val="nil"/>
            </w:tcBorders>
            <w:noWrap/>
            <w:vAlign w:val="center"/>
          </w:tcPr>
          <w:p>
            <w:pPr>
              <w:rPr>
                <w:rFonts w:eastAsia="宋体" w:cs="Times New Roman"/>
                <w:color w:val="000000"/>
                <w:sz w:val="21"/>
                <w:szCs w:val="21"/>
              </w:rPr>
            </w:pPr>
            <w:r>
              <w:rPr>
                <w:rFonts w:hint="eastAsia" w:eastAsia="宋体"/>
                <w:color w:val="000000"/>
                <w:sz w:val="21"/>
                <w:szCs w:val="21"/>
              </w:rPr>
              <w:t>主管部门满意度</w:t>
            </w:r>
          </w:p>
        </w:tc>
        <w:tc>
          <w:tcPr>
            <w:tcW w:w="2948"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主管部门对信息宣传项目实施满意人数/调查总人数*100%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调查问卷</w:t>
            </w:r>
          </w:p>
        </w:tc>
      </w:tr>
      <w:tr>
        <w:trPr>
          <w:trHeight w:val="604" w:hRule="atLeast"/>
          <w:jc w:val="center"/>
        </w:trPr>
        <w:tc>
          <w:tcPr>
            <w:tcW w:w="924" w:type="dxa"/>
            <w:vMerge w:val="continue"/>
            <w:tcBorders>
              <w:tl2br w:val="nil"/>
              <w:tr2bl w:val="nil"/>
            </w:tcBorders>
            <w:vAlign w:val="center"/>
          </w:tcPr>
          <w:p>
            <w:pPr>
              <w:spacing w:line="584" w:lineRule="exact"/>
              <w:jc w:val="center"/>
              <w:rPr>
                <w:rFonts w:eastAsia="宋体"/>
                <w:sz w:val="21"/>
                <w:szCs w:val="21"/>
              </w:rPr>
            </w:pPr>
          </w:p>
        </w:tc>
        <w:tc>
          <w:tcPr>
            <w:tcW w:w="886" w:type="dxa"/>
            <w:tcBorders>
              <w:tl2br w:val="nil"/>
              <w:tr2bl w:val="nil"/>
            </w:tcBorders>
            <w:vAlign w:val="center"/>
          </w:tcPr>
          <w:p>
            <w:pPr>
              <w:adjustRightInd w:val="0"/>
              <w:snapToGrid w:val="0"/>
              <w:jc w:val="center"/>
              <w:rPr>
                <w:rFonts w:eastAsia="宋体"/>
                <w:sz w:val="21"/>
                <w:szCs w:val="21"/>
              </w:rPr>
            </w:pPr>
            <w:r>
              <w:rPr>
                <w:rFonts w:hint="eastAsia" w:eastAsia="宋体"/>
                <w:sz w:val="21"/>
                <w:szCs w:val="21"/>
              </w:rPr>
              <w:t>满意度</w:t>
            </w:r>
          </w:p>
        </w:tc>
        <w:tc>
          <w:tcPr>
            <w:tcW w:w="2455" w:type="dxa"/>
            <w:tcBorders>
              <w:tl2br w:val="nil"/>
              <w:tr2bl w:val="nil"/>
            </w:tcBorders>
            <w:noWrap/>
            <w:vAlign w:val="center"/>
          </w:tcPr>
          <w:p>
            <w:pPr>
              <w:rPr>
                <w:rFonts w:eastAsia="宋体" w:cs="Times New Roman"/>
                <w:color w:val="000000"/>
                <w:sz w:val="21"/>
                <w:szCs w:val="21"/>
              </w:rPr>
            </w:pPr>
            <w:r>
              <w:rPr>
                <w:rFonts w:hint="eastAsia" w:eastAsia="宋体"/>
                <w:color w:val="000000"/>
                <w:sz w:val="21"/>
                <w:szCs w:val="21"/>
              </w:rPr>
              <w:t>园区落地企业满意度</w:t>
            </w:r>
          </w:p>
        </w:tc>
        <w:tc>
          <w:tcPr>
            <w:tcW w:w="2948"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达到目标值得满分，每降低1%扣权重分10%，扣完为止。</w:t>
            </w:r>
          </w:p>
        </w:tc>
        <w:tc>
          <w:tcPr>
            <w:tcW w:w="2403" w:type="dxa"/>
            <w:tcBorders>
              <w:tl2br w:val="nil"/>
              <w:tr2bl w:val="nil"/>
            </w:tcBorders>
            <w:noWrap/>
            <w:vAlign w:val="center"/>
          </w:tcPr>
          <w:p>
            <w:pPr>
              <w:rPr>
                <w:rFonts w:eastAsia="宋体" w:cs="Times New Roman"/>
                <w:color w:val="000000"/>
                <w:sz w:val="21"/>
                <w:szCs w:val="21"/>
              </w:rPr>
            </w:pPr>
            <w:r>
              <w:rPr>
                <w:rFonts w:eastAsia="宋体"/>
                <w:color w:val="000000"/>
                <w:sz w:val="21"/>
                <w:szCs w:val="21"/>
              </w:rPr>
              <w:t>园区落地企业满意数量/调查总数量*100%</w:t>
            </w:r>
          </w:p>
        </w:tc>
        <w:tc>
          <w:tcPr>
            <w:tcW w:w="853"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750"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90.00</w:t>
            </w:r>
          </w:p>
        </w:tc>
        <w:tc>
          <w:tcPr>
            <w:tcW w:w="78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w:t>
            </w:r>
          </w:p>
        </w:tc>
        <w:tc>
          <w:tcPr>
            <w:tcW w:w="2114" w:type="dxa"/>
            <w:tcBorders>
              <w:tl2br w:val="nil"/>
              <w:tr2bl w:val="nil"/>
            </w:tcBorders>
            <w:vAlign w:val="center"/>
          </w:tcPr>
          <w:p>
            <w:pPr>
              <w:jc w:val="center"/>
              <w:rPr>
                <w:rFonts w:eastAsia="宋体" w:cs="Times New Roman"/>
                <w:color w:val="000000"/>
                <w:sz w:val="21"/>
                <w:szCs w:val="21"/>
              </w:rPr>
            </w:pPr>
            <w:r>
              <w:rPr>
                <w:rFonts w:hint="eastAsia" w:eastAsia="宋体"/>
                <w:color w:val="000000"/>
                <w:sz w:val="21"/>
                <w:szCs w:val="21"/>
              </w:rPr>
              <w:t>调查问卷</w:t>
            </w:r>
          </w:p>
        </w:tc>
      </w:tr>
    </w:tbl>
    <w:p>
      <w:pPr>
        <w:ind w:firstLine="640"/>
        <w:sectPr>
          <w:footerReference r:id="rId3" w:type="default"/>
          <w:footerReference r:id="rId4" w:type="even"/>
          <w:pgSz w:w="16840" w:h="11900" w:orient="landscape"/>
          <w:pgMar w:top="1361" w:right="1020" w:bottom="1361" w:left="1020" w:header="720" w:footer="720" w:gutter="0"/>
          <w:cols w:space="720" w:num="1"/>
        </w:sectPr>
      </w:pP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部分预算项目绩效目标</w:t>
      </w:r>
    </w:p>
    <w:p>
      <w:pPr>
        <w:ind w:firstLine="640"/>
      </w:pPr>
      <w:r>
        <w:rPr>
          <w:rFonts w:ascii="方正仿宋_GBK" w:hAnsi="方正仿宋_GBK" w:eastAsia="方正仿宋_GBK" w:cs="方正仿宋_GBK"/>
          <w:b/>
          <w:color w:val="000000"/>
          <w:sz w:val="28"/>
        </w:rPr>
        <w:t>1、2021年规划成果整合入库（CIM平台）服务项目绩效目标表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1.完成制作廊坊临空经济区全域城市设计BIM模型，推动城市建筑信息平台高质量发展，辅助项目审批和精细化管理。</w:t>
            </w:r>
          </w:p>
          <w:p>
            <w:pPr>
              <w:pStyle w:val="16"/>
            </w:pPr>
            <w:r>
              <w:t>2.完成廊坊临空经济区全域100平方公里规划成果整合入库工作，为高质量建设临空经济区提供数据支持。</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制作模型成果数量</w:t>
            </w:r>
          </w:p>
        </w:tc>
        <w:tc>
          <w:tcPr>
            <w:tcW w:w="2835" w:type="dxa"/>
            <w:vAlign w:val="center"/>
          </w:tcPr>
          <w:p>
            <w:pPr>
              <w:pStyle w:val="16"/>
            </w:pPr>
            <w:r>
              <w:t>按照临空区面积全域建模</w:t>
            </w:r>
          </w:p>
        </w:tc>
        <w:tc>
          <w:tcPr>
            <w:tcW w:w="2551" w:type="dxa"/>
            <w:vAlign w:val="center"/>
          </w:tcPr>
          <w:p>
            <w:pPr>
              <w:pStyle w:val="16"/>
            </w:pPr>
            <w:r>
              <w:t>100平方公里</w:t>
            </w:r>
          </w:p>
        </w:tc>
        <w:tc>
          <w:tcPr>
            <w:tcW w:w="2268" w:type="dxa"/>
            <w:vAlign w:val="center"/>
          </w:tcPr>
          <w:p>
            <w:pPr>
              <w:pStyle w:val="16"/>
            </w:pPr>
            <w:r>
              <w:t>根据合同约定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模型入库率</w:t>
            </w:r>
          </w:p>
        </w:tc>
        <w:tc>
          <w:tcPr>
            <w:tcW w:w="2835" w:type="dxa"/>
            <w:vAlign w:val="center"/>
          </w:tcPr>
          <w:p>
            <w:pPr>
              <w:pStyle w:val="16"/>
            </w:pPr>
            <w:r>
              <w:t>模型制作后进行入库审核</w:t>
            </w:r>
          </w:p>
        </w:tc>
        <w:tc>
          <w:tcPr>
            <w:tcW w:w="2551" w:type="dxa"/>
            <w:vAlign w:val="center"/>
          </w:tcPr>
          <w:p>
            <w:pPr>
              <w:pStyle w:val="16"/>
            </w:pPr>
            <w:r>
              <w:t>100%</w:t>
            </w:r>
          </w:p>
        </w:tc>
        <w:tc>
          <w:tcPr>
            <w:tcW w:w="2268" w:type="dxa"/>
            <w:vAlign w:val="center"/>
          </w:tcPr>
          <w:p>
            <w:pPr>
              <w:pStyle w:val="16"/>
            </w:pPr>
            <w:r>
              <w:t>《规划设计BIM三维模型制作入库标准》及《城市信息模型（CIM）平台数据标准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按规定时间完成模型制作</w:t>
            </w:r>
          </w:p>
        </w:tc>
        <w:tc>
          <w:tcPr>
            <w:tcW w:w="2551" w:type="dxa"/>
            <w:vAlign w:val="center"/>
          </w:tcPr>
          <w:p>
            <w:pPr>
              <w:pStyle w:val="16"/>
            </w:pPr>
            <w:r>
              <w:t>3月底前</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考察项目最终成本</w:t>
            </w:r>
          </w:p>
        </w:tc>
        <w:tc>
          <w:tcPr>
            <w:tcW w:w="2551" w:type="dxa"/>
            <w:vAlign w:val="center"/>
          </w:tcPr>
          <w:p>
            <w:pPr>
              <w:pStyle w:val="16"/>
            </w:pPr>
            <w:r>
              <w:t>≤195万元</w:t>
            </w:r>
          </w:p>
        </w:tc>
        <w:tc>
          <w:tcPr>
            <w:tcW w:w="2268" w:type="dxa"/>
            <w:vAlign w:val="center"/>
          </w:tcPr>
          <w:p>
            <w:pPr>
              <w:pStyle w:val="16"/>
            </w:pPr>
            <w:r>
              <w:t>依照合同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为临空后续建设提供支撑</w:t>
            </w:r>
          </w:p>
        </w:tc>
        <w:tc>
          <w:tcPr>
            <w:tcW w:w="2835" w:type="dxa"/>
            <w:vAlign w:val="center"/>
          </w:tcPr>
          <w:p>
            <w:pPr>
              <w:pStyle w:val="16"/>
            </w:pPr>
            <w:r>
              <w:t>CIM平台数据为临空后期建设提供数字可视化支撑</w:t>
            </w:r>
          </w:p>
        </w:tc>
        <w:tc>
          <w:tcPr>
            <w:tcW w:w="2551" w:type="dxa"/>
            <w:vAlign w:val="center"/>
          </w:tcPr>
          <w:p>
            <w:pPr>
              <w:pStyle w:val="16"/>
            </w:pPr>
            <w:r>
              <w:t>支撑</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指导临空经济区高质量发展</w:t>
            </w:r>
          </w:p>
        </w:tc>
        <w:tc>
          <w:tcPr>
            <w:tcW w:w="2835" w:type="dxa"/>
            <w:vAlign w:val="center"/>
          </w:tcPr>
          <w:p>
            <w:pPr>
              <w:pStyle w:val="16"/>
            </w:pPr>
            <w:r>
              <w:t>CIM平台数据辅助项目审批提升项目质量，提升审批效率</w:t>
            </w:r>
          </w:p>
        </w:tc>
        <w:tc>
          <w:tcPr>
            <w:tcW w:w="2551" w:type="dxa"/>
            <w:vAlign w:val="center"/>
          </w:tcPr>
          <w:p>
            <w:pPr>
              <w:pStyle w:val="16"/>
            </w:pPr>
            <w:r>
              <w:t>提升</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提升土地使用效益</w:t>
            </w:r>
          </w:p>
        </w:tc>
        <w:tc>
          <w:tcPr>
            <w:tcW w:w="2835" w:type="dxa"/>
            <w:vAlign w:val="center"/>
          </w:tcPr>
          <w:p>
            <w:pPr>
              <w:pStyle w:val="16"/>
            </w:pPr>
            <w:r>
              <w:t>CIM平台数据直观展现临空项目建设情况</w:t>
            </w:r>
          </w:p>
        </w:tc>
        <w:tc>
          <w:tcPr>
            <w:tcW w:w="2551" w:type="dxa"/>
            <w:vAlign w:val="center"/>
          </w:tcPr>
          <w:p>
            <w:pPr>
              <w:pStyle w:val="16"/>
            </w:pPr>
            <w:r>
              <w:t>提升</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为生态良好保驾护航</w:t>
            </w:r>
          </w:p>
        </w:tc>
        <w:tc>
          <w:tcPr>
            <w:tcW w:w="2835" w:type="dxa"/>
            <w:vAlign w:val="center"/>
          </w:tcPr>
          <w:p>
            <w:pPr>
              <w:pStyle w:val="16"/>
            </w:pPr>
            <w:r>
              <w:t>促进项目合理规</w:t>
            </w:r>
            <w:r>
              <w:rPr>
                <w:rFonts w:hint="eastAsia"/>
                <w:lang w:val="en-US" w:eastAsia="zh-CN"/>
              </w:rPr>
              <w:t>划</w:t>
            </w:r>
            <w:r>
              <w:t>，改善人居环境</w:t>
            </w:r>
          </w:p>
        </w:tc>
        <w:tc>
          <w:tcPr>
            <w:tcW w:w="2551" w:type="dxa"/>
            <w:vAlign w:val="center"/>
          </w:tcPr>
          <w:p>
            <w:pPr>
              <w:pStyle w:val="16"/>
            </w:pPr>
            <w:r>
              <w:t>支撑</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调查问卷满意人数/调查问卷总人数*100%</w:t>
            </w:r>
          </w:p>
        </w:tc>
        <w:tc>
          <w:tcPr>
            <w:tcW w:w="2551" w:type="dxa"/>
            <w:vAlign w:val="center"/>
          </w:tcPr>
          <w:p>
            <w:pPr>
              <w:pStyle w:val="16"/>
            </w:pPr>
            <w:r>
              <w:t>≥90%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2、2021年海绵城市建设技术导则绩效目标表</w:t>
      </w:r>
    </w:p>
    <w:tbl>
      <w:tblPr>
        <w:tblStyle w:val="8"/>
        <w:tblW w:w="1423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900"/>
        <w:gridCol w:w="12332"/>
      </w:tblGrid>
      <w:tr>
        <w:trPr>
          <w:trHeight w:val="397" w:hRule="atLeast"/>
          <w:jc w:val="center"/>
        </w:trPr>
        <w:tc>
          <w:tcPr>
            <w:tcW w:w="1900"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临空经济区高质量建设，开展临空经济区海绵城市建设导则、图集编制工作，明确临空经济区海绵城市建设标准要求，为高质量建设临空经济区提供依据和指导。</w:t>
            </w:r>
          </w:p>
          <w:p>
            <w:pPr>
              <w:pStyle w:val="16"/>
            </w:pPr>
            <w:r>
              <w:t>2.开展临空经济区海绵城市建设导则、图集编制工作，明确临空经济区海绵城市建设、运维标准要求，为高质量建设临空经济区提供依据和指导。</w:t>
            </w:r>
          </w:p>
        </w:tc>
      </w:tr>
    </w:tbl>
    <w:p>
      <w:pPr>
        <w:spacing w:line="2" w:lineRule="exact"/>
        <w:jc w:val="center"/>
        <w:rPr>
          <w:rFonts w:eastAsia="宋体"/>
          <w:lang w:eastAsia="zh-CN"/>
        </w:rPr>
      </w:pPr>
    </w:p>
    <w:tbl>
      <w:tblPr>
        <w:tblStyle w:val="8"/>
        <w:tblW w:w="14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2268"/>
        <w:gridCol w:w="2835"/>
        <w:gridCol w:w="2835"/>
        <w:gridCol w:w="2551"/>
        <w:gridCol w:w="2268"/>
      </w:tblGrid>
      <w:tr>
        <w:trPr>
          <w:trHeight w:val="397" w:hRule="atLeast"/>
          <w:tblHeader/>
          <w:jc w:val="center"/>
        </w:trPr>
        <w:tc>
          <w:tcPr>
            <w:tcW w:w="1460"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60"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规划编制方案成果数量</w:t>
            </w:r>
          </w:p>
        </w:tc>
        <w:tc>
          <w:tcPr>
            <w:tcW w:w="2835" w:type="dxa"/>
            <w:vAlign w:val="center"/>
          </w:tcPr>
          <w:p>
            <w:pPr>
              <w:pStyle w:val="16"/>
            </w:pPr>
            <w:r>
              <w:t>编制完成后提供最终成果册</w:t>
            </w:r>
          </w:p>
        </w:tc>
        <w:tc>
          <w:tcPr>
            <w:tcW w:w="2551" w:type="dxa"/>
            <w:vAlign w:val="center"/>
          </w:tcPr>
          <w:p>
            <w:pPr>
              <w:pStyle w:val="16"/>
            </w:pPr>
            <w:r>
              <w:t>≥8套</w:t>
            </w:r>
          </w:p>
        </w:tc>
        <w:tc>
          <w:tcPr>
            <w:tcW w:w="2268" w:type="dxa"/>
            <w:vAlign w:val="center"/>
          </w:tcPr>
          <w:p>
            <w:pPr>
              <w:pStyle w:val="16"/>
            </w:pPr>
            <w:r>
              <w:t>依据合同约定</w:t>
            </w:r>
          </w:p>
        </w:tc>
      </w:tr>
      <w:tr>
        <w:trPr>
          <w:trHeight w:val="397" w:hRule="atLeast"/>
          <w:jc w:val="center"/>
        </w:trPr>
        <w:tc>
          <w:tcPr>
            <w:tcW w:w="1460" w:type="dxa"/>
            <w:vMerge w:val="continue"/>
            <w:vAlign w:val="center"/>
          </w:tcPr>
          <w:p/>
        </w:tc>
        <w:tc>
          <w:tcPr>
            <w:tcW w:w="2268" w:type="dxa"/>
            <w:vAlign w:val="center"/>
          </w:tcPr>
          <w:p>
            <w:pPr>
              <w:pStyle w:val="16"/>
            </w:pPr>
            <w:r>
              <w:t>质量指标</w:t>
            </w:r>
          </w:p>
        </w:tc>
        <w:tc>
          <w:tcPr>
            <w:tcW w:w="2835" w:type="dxa"/>
            <w:vAlign w:val="center"/>
          </w:tcPr>
          <w:p>
            <w:pPr>
              <w:pStyle w:val="16"/>
            </w:pPr>
            <w:r>
              <w:t>专家评审通过率及临空经济区规委会审议通过率</w:t>
            </w:r>
          </w:p>
        </w:tc>
        <w:tc>
          <w:tcPr>
            <w:tcW w:w="2835" w:type="dxa"/>
            <w:vAlign w:val="center"/>
          </w:tcPr>
          <w:p>
            <w:pPr>
              <w:pStyle w:val="16"/>
            </w:pPr>
            <w:r>
              <w:t>临空经济区管委会组织专家及规委会对编制方案进行评审</w:t>
            </w:r>
          </w:p>
        </w:tc>
        <w:tc>
          <w:tcPr>
            <w:tcW w:w="2551" w:type="dxa"/>
            <w:vAlign w:val="center"/>
          </w:tcPr>
          <w:p>
            <w:pPr>
              <w:pStyle w:val="16"/>
            </w:pPr>
            <w:r>
              <w:t>≥90%</w:t>
            </w:r>
          </w:p>
        </w:tc>
        <w:tc>
          <w:tcPr>
            <w:tcW w:w="2268" w:type="dxa"/>
            <w:vAlign w:val="center"/>
          </w:tcPr>
          <w:p>
            <w:pPr>
              <w:pStyle w:val="16"/>
            </w:pPr>
            <w:r>
              <w:t>专家评审论证意见</w:t>
            </w:r>
          </w:p>
        </w:tc>
      </w:tr>
      <w:tr>
        <w:trPr>
          <w:trHeight w:val="397" w:hRule="atLeast"/>
          <w:jc w:val="center"/>
        </w:trPr>
        <w:tc>
          <w:tcPr>
            <w:tcW w:w="1460"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按时提交规划成果</w:t>
            </w:r>
          </w:p>
        </w:tc>
        <w:tc>
          <w:tcPr>
            <w:tcW w:w="2551" w:type="dxa"/>
            <w:vAlign w:val="center"/>
          </w:tcPr>
          <w:p>
            <w:pPr>
              <w:pStyle w:val="16"/>
            </w:pPr>
            <w:r>
              <w:t>2023年12月31日前</w:t>
            </w:r>
          </w:p>
        </w:tc>
        <w:tc>
          <w:tcPr>
            <w:tcW w:w="2268" w:type="dxa"/>
            <w:vAlign w:val="center"/>
          </w:tcPr>
          <w:p>
            <w:pPr>
              <w:pStyle w:val="16"/>
            </w:pPr>
            <w:r>
              <w:t>依照合同约定时间</w:t>
            </w:r>
          </w:p>
        </w:tc>
      </w:tr>
      <w:tr>
        <w:trPr>
          <w:trHeight w:val="397" w:hRule="atLeast"/>
          <w:jc w:val="center"/>
        </w:trPr>
        <w:tc>
          <w:tcPr>
            <w:tcW w:w="1460"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成本控制总价为15.55万元，超出约定不得分</w:t>
            </w:r>
          </w:p>
        </w:tc>
        <w:tc>
          <w:tcPr>
            <w:tcW w:w="2551" w:type="dxa"/>
            <w:vAlign w:val="center"/>
          </w:tcPr>
          <w:p>
            <w:pPr>
              <w:pStyle w:val="16"/>
            </w:pPr>
            <w:r>
              <w:t>≤15.55万元</w:t>
            </w:r>
          </w:p>
        </w:tc>
        <w:tc>
          <w:tcPr>
            <w:tcW w:w="2268" w:type="dxa"/>
            <w:vAlign w:val="center"/>
          </w:tcPr>
          <w:p>
            <w:pPr>
              <w:pStyle w:val="16"/>
            </w:pPr>
            <w:r>
              <w:t>依照合同约定时间</w:t>
            </w:r>
          </w:p>
        </w:tc>
      </w:tr>
      <w:tr>
        <w:trPr>
          <w:trHeight w:val="397" w:hRule="atLeast"/>
          <w:jc w:val="center"/>
        </w:trPr>
        <w:tc>
          <w:tcPr>
            <w:tcW w:w="1460"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明确海绵城市建设标准</w:t>
            </w:r>
          </w:p>
        </w:tc>
        <w:tc>
          <w:tcPr>
            <w:tcW w:w="2835" w:type="dxa"/>
            <w:vAlign w:val="center"/>
          </w:tcPr>
          <w:p>
            <w:pPr>
              <w:pStyle w:val="16"/>
            </w:pPr>
            <w:r>
              <w:t>结合国家、地方标准规范要求，结合临空经济区实际，明确海绵城市建设标准</w:t>
            </w:r>
          </w:p>
        </w:tc>
        <w:tc>
          <w:tcPr>
            <w:tcW w:w="2551" w:type="dxa"/>
            <w:vAlign w:val="center"/>
          </w:tcPr>
          <w:p>
            <w:pPr>
              <w:pStyle w:val="16"/>
            </w:pPr>
            <w:r>
              <w:t>科学合理</w:t>
            </w:r>
          </w:p>
        </w:tc>
        <w:tc>
          <w:tcPr>
            <w:tcW w:w="2268" w:type="dxa"/>
            <w:vAlign w:val="center"/>
          </w:tcPr>
          <w:p>
            <w:pPr>
              <w:pStyle w:val="16"/>
            </w:pPr>
            <w:r>
              <w:t>规委会会议纪要</w:t>
            </w:r>
          </w:p>
        </w:tc>
      </w:tr>
      <w:tr>
        <w:trPr>
          <w:trHeight w:val="397" w:hRule="atLeast"/>
          <w:jc w:val="center"/>
        </w:trPr>
        <w:tc>
          <w:tcPr>
            <w:tcW w:w="1460" w:type="dxa"/>
            <w:vMerge w:val="continue"/>
            <w:vAlign w:val="center"/>
          </w:tcPr>
          <w:p/>
        </w:tc>
        <w:tc>
          <w:tcPr>
            <w:tcW w:w="2268" w:type="dxa"/>
            <w:vAlign w:val="center"/>
          </w:tcPr>
          <w:p>
            <w:pPr>
              <w:pStyle w:val="16"/>
            </w:pPr>
            <w:r>
              <w:t>社会效益指标</w:t>
            </w:r>
          </w:p>
        </w:tc>
        <w:tc>
          <w:tcPr>
            <w:tcW w:w="2835" w:type="dxa"/>
            <w:vAlign w:val="center"/>
          </w:tcPr>
          <w:p>
            <w:pPr>
              <w:pStyle w:val="16"/>
            </w:pPr>
            <w:r>
              <w:t>提升工作效率</w:t>
            </w:r>
          </w:p>
        </w:tc>
        <w:tc>
          <w:tcPr>
            <w:tcW w:w="2835" w:type="dxa"/>
            <w:vAlign w:val="center"/>
          </w:tcPr>
          <w:p>
            <w:pPr>
              <w:pStyle w:val="16"/>
            </w:pPr>
            <w:r>
              <w:t>通过项目的开展找出建设过程中遇到的问题，明确下一步工作计划和重点</w:t>
            </w:r>
          </w:p>
        </w:tc>
        <w:tc>
          <w:tcPr>
            <w:tcW w:w="2551" w:type="dxa"/>
            <w:vAlign w:val="center"/>
          </w:tcPr>
          <w:p>
            <w:pPr>
              <w:pStyle w:val="16"/>
            </w:pPr>
            <w:r>
              <w:t>提高</w:t>
            </w:r>
          </w:p>
        </w:tc>
        <w:tc>
          <w:tcPr>
            <w:tcW w:w="2268" w:type="dxa"/>
            <w:vAlign w:val="center"/>
          </w:tcPr>
          <w:p>
            <w:pPr>
              <w:pStyle w:val="16"/>
            </w:pPr>
            <w:r>
              <w:t>规委会会议纪要</w:t>
            </w:r>
          </w:p>
        </w:tc>
      </w:tr>
      <w:tr>
        <w:trPr>
          <w:trHeight w:val="397" w:hRule="atLeast"/>
          <w:jc w:val="center"/>
        </w:trPr>
        <w:tc>
          <w:tcPr>
            <w:tcW w:w="1460" w:type="dxa"/>
            <w:vMerge w:val="continue"/>
            <w:vAlign w:val="center"/>
          </w:tcPr>
          <w:p/>
        </w:tc>
        <w:tc>
          <w:tcPr>
            <w:tcW w:w="2268" w:type="dxa"/>
            <w:vAlign w:val="center"/>
          </w:tcPr>
          <w:p>
            <w:pPr>
              <w:pStyle w:val="16"/>
            </w:pPr>
            <w:r>
              <w:t>生态效益指标</w:t>
            </w:r>
          </w:p>
        </w:tc>
        <w:tc>
          <w:tcPr>
            <w:tcW w:w="2835" w:type="dxa"/>
            <w:vAlign w:val="center"/>
          </w:tcPr>
          <w:p>
            <w:pPr>
              <w:pStyle w:val="16"/>
            </w:pPr>
            <w:r>
              <w:t>提升临空区生态水平</w:t>
            </w:r>
          </w:p>
        </w:tc>
        <w:tc>
          <w:tcPr>
            <w:tcW w:w="2835" w:type="dxa"/>
            <w:vAlign w:val="center"/>
          </w:tcPr>
          <w:p>
            <w:pPr>
              <w:pStyle w:val="16"/>
            </w:pPr>
            <w:r>
              <w:t>分析临空区现状生态保护与建设情况，提出临空经济区海绵建设要求</w:t>
            </w:r>
          </w:p>
        </w:tc>
        <w:tc>
          <w:tcPr>
            <w:tcW w:w="2551" w:type="dxa"/>
            <w:vAlign w:val="center"/>
          </w:tcPr>
          <w:p>
            <w:pPr>
              <w:pStyle w:val="16"/>
            </w:pPr>
            <w:r>
              <w:t>优化</w:t>
            </w:r>
          </w:p>
        </w:tc>
        <w:tc>
          <w:tcPr>
            <w:tcW w:w="2268" w:type="dxa"/>
            <w:vAlign w:val="center"/>
          </w:tcPr>
          <w:p>
            <w:pPr>
              <w:pStyle w:val="16"/>
            </w:pPr>
            <w:r>
              <w:t>规委会会议纪要</w:t>
            </w:r>
          </w:p>
        </w:tc>
      </w:tr>
      <w:tr>
        <w:trPr>
          <w:trHeight w:val="397" w:hRule="atLeast"/>
          <w:jc w:val="center"/>
        </w:trPr>
        <w:tc>
          <w:tcPr>
            <w:tcW w:w="1460" w:type="dxa"/>
            <w:vMerge w:val="continue"/>
            <w:vAlign w:val="center"/>
          </w:tcPr>
          <w:p/>
        </w:tc>
        <w:tc>
          <w:tcPr>
            <w:tcW w:w="2268" w:type="dxa"/>
            <w:vAlign w:val="center"/>
          </w:tcPr>
          <w:p>
            <w:pPr>
              <w:pStyle w:val="16"/>
            </w:pPr>
            <w:r>
              <w:t>可持续影响指标</w:t>
            </w:r>
          </w:p>
        </w:tc>
        <w:tc>
          <w:tcPr>
            <w:tcW w:w="2835" w:type="dxa"/>
            <w:vAlign w:val="center"/>
          </w:tcPr>
          <w:p>
            <w:pPr>
              <w:pStyle w:val="16"/>
            </w:pPr>
            <w:r>
              <w:t>指导建设实施</w:t>
            </w:r>
          </w:p>
        </w:tc>
        <w:tc>
          <w:tcPr>
            <w:tcW w:w="2835" w:type="dxa"/>
            <w:vAlign w:val="center"/>
          </w:tcPr>
          <w:p>
            <w:pPr>
              <w:pStyle w:val="16"/>
            </w:pPr>
            <w:r>
              <w:t>为海绵城市建设提供依据</w:t>
            </w:r>
          </w:p>
        </w:tc>
        <w:tc>
          <w:tcPr>
            <w:tcW w:w="2551" w:type="dxa"/>
            <w:vAlign w:val="center"/>
          </w:tcPr>
          <w:p>
            <w:pPr>
              <w:pStyle w:val="16"/>
            </w:pPr>
            <w:r>
              <w:t>支撑</w:t>
            </w:r>
          </w:p>
        </w:tc>
        <w:tc>
          <w:tcPr>
            <w:tcW w:w="2268" w:type="dxa"/>
            <w:vAlign w:val="center"/>
          </w:tcPr>
          <w:p>
            <w:pPr>
              <w:pStyle w:val="16"/>
            </w:pPr>
            <w:r>
              <w:t>规委会会议纪要</w:t>
            </w:r>
          </w:p>
        </w:tc>
      </w:tr>
      <w:tr>
        <w:trPr>
          <w:trHeight w:val="397" w:hRule="atLeast"/>
          <w:jc w:val="center"/>
        </w:trPr>
        <w:tc>
          <w:tcPr>
            <w:tcW w:w="1460"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项目满意度</w:t>
            </w:r>
          </w:p>
        </w:tc>
        <w:tc>
          <w:tcPr>
            <w:tcW w:w="2835" w:type="dxa"/>
            <w:vAlign w:val="center"/>
          </w:tcPr>
          <w:p>
            <w:pPr>
              <w:pStyle w:val="16"/>
            </w:pPr>
            <w:r>
              <w:t>项目满意度</w:t>
            </w:r>
          </w:p>
        </w:tc>
        <w:tc>
          <w:tcPr>
            <w:tcW w:w="2551" w:type="dxa"/>
            <w:vAlign w:val="center"/>
          </w:tcPr>
          <w:p>
            <w:pPr>
              <w:pStyle w:val="16"/>
            </w:pPr>
            <w:r>
              <w:t>≥90%</w:t>
            </w:r>
          </w:p>
        </w:tc>
        <w:tc>
          <w:tcPr>
            <w:tcW w:w="2268"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3、2021年航空物流区水系规划深化设计绩效目标表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航空物流区高质量建设，开展航空物流区水系规划深化设计项目编制工作，明确航空物流区排涝标准要求及相应排涝体系、生态景观水系、智慧运维水系，为临空经济区高标准、高质量建设提供支撑。</w:t>
            </w:r>
          </w:p>
          <w:p>
            <w:pPr>
              <w:pStyle w:val="16"/>
            </w:pPr>
            <w:r>
              <w:t>2.落实《关于印发北京大兴国际机场临空经济区廊坊片区“1+3+13”规划体系实施意见的通知》的要求，深化航空物流区水系规划设计，统筹提出水系排水、生态景观及智慧建设计划及建设方案。保证水系建设蓝绿统筹、布局合理、规模适宜。</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779"/>
        <w:gridCol w:w="2072"/>
        <w:gridCol w:w="3547"/>
        <w:gridCol w:w="2466"/>
        <w:gridCol w:w="2466"/>
      </w:tblGrid>
      <w:tr>
        <w:trPr>
          <w:trHeight w:val="397" w:hRule="atLeast"/>
          <w:tblHeader/>
          <w:jc w:val="center"/>
        </w:trPr>
        <w:tc>
          <w:tcPr>
            <w:tcW w:w="2466" w:type="dxa"/>
            <w:vAlign w:val="center"/>
          </w:tcPr>
          <w:p>
            <w:pPr>
              <w:pStyle w:val="14"/>
            </w:pPr>
            <w:r>
              <w:t>一级指标</w:t>
            </w:r>
          </w:p>
        </w:tc>
        <w:tc>
          <w:tcPr>
            <w:tcW w:w="1779" w:type="dxa"/>
            <w:vAlign w:val="center"/>
          </w:tcPr>
          <w:p>
            <w:pPr>
              <w:pStyle w:val="14"/>
            </w:pPr>
            <w:r>
              <w:t>二级指标</w:t>
            </w:r>
          </w:p>
        </w:tc>
        <w:tc>
          <w:tcPr>
            <w:tcW w:w="2072" w:type="dxa"/>
            <w:vAlign w:val="center"/>
          </w:tcPr>
          <w:p>
            <w:pPr>
              <w:pStyle w:val="14"/>
            </w:pPr>
            <w:r>
              <w:t>三级指标</w:t>
            </w:r>
          </w:p>
        </w:tc>
        <w:tc>
          <w:tcPr>
            <w:tcW w:w="3547"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779" w:type="dxa"/>
            <w:vAlign w:val="center"/>
          </w:tcPr>
          <w:p>
            <w:pPr>
              <w:pStyle w:val="16"/>
            </w:pPr>
            <w:r>
              <w:t>数量指标</w:t>
            </w:r>
          </w:p>
        </w:tc>
        <w:tc>
          <w:tcPr>
            <w:tcW w:w="2072" w:type="dxa"/>
            <w:vAlign w:val="center"/>
          </w:tcPr>
          <w:p>
            <w:pPr>
              <w:pStyle w:val="16"/>
            </w:pPr>
            <w:r>
              <w:t>成果数量</w:t>
            </w:r>
          </w:p>
        </w:tc>
        <w:tc>
          <w:tcPr>
            <w:tcW w:w="3547" w:type="dxa"/>
            <w:vAlign w:val="center"/>
          </w:tcPr>
          <w:p>
            <w:pPr>
              <w:pStyle w:val="16"/>
            </w:pPr>
            <w:r>
              <w:t>提交10套成果</w:t>
            </w:r>
          </w:p>
        </w:tc>
        <w:tc>
          <w:tcPr>
            <w:tcW w:w="2466" w:type="dxa"/>
            <w:vAlign w:val="center"/>
          </w:tcPr>
          <w:p>
            <w:pPr>
              <w:pStyle w:val="16"/>
            </w:pPr>
            <w:r>
              <w:t>≥10个</w:t>
            </w:r>
          </w:p>
        </w:tc>
        <w:tc>
          <w:tcPr>
            <w:tcW w:w="2466" w:type="dxa"/>
            <w:vAlign w:val="center"/>
          </w:tcPr>
          <w:p>
            <w:pPr>
              <w:pStyle w:val="16"/>
            </w:pPr>
            <w:r>
              <w:t>依据合同约定</w:t>
            </w:r>
          </w:p>
        </w:tc>
      </w:tr>
      <w:tr>
        <w:trPr>
          <w:trHeight w:val="397" w:hRule="atLeast"/>
          <w:jc w:val="center"/>
        </w:trPr>
        <w:tc>
          <w:tcPr>
            <w:tcW w:w="2466" w:type="dxa"/>
            <w:vMerge w:val="continue"/>
            <w:vAlign w:val="center"/>
          </w:tcPr>
          <w:p/>
        </w:tc>
        <w:tc>
          <w:tcPr>
            <w:tcW w:w="1779" w:type="dxa"/>
            <w:vAlign w:val="center"/>
          </w:tcPr>
          <w:p>
            <w:pPr>
              <w:pStyle w:val="16"/>
            </w:pPr>
            <w:r>
              <w:t>质量指标</w:t>
            </w:r>
          </w:p>
        </w:tc>
        <w:tc>
          <w:tcPr>
            <w:tcW w:w="2072" w:type="dxa"/>
            <w:vAlign w:val="center"/>
          </w:tcPr>
          <w:p>
            <w:pPr>
              <w:pStyle w:val="16"/>
            </w:pPr>
            <w:r>
              <w:t>专家评审通过率</w:t>
            </w:r>
          </w:p>
        </w:tc>
        <w:tc>
          <w:tcPr>
            <w:tcW w:w="3547" w:type="dxa"/>
            <w:vAlign w:val="center"/>
          </w:tcPr>
          <w:p>
            <w:pPr>
              <w:pStyle w:val="16"/>
            </w:pPr>
            <w:r>
              <w:t>编制成果合格率=评审合格规划数量/总规划数量</w:t>
            </w:r>
          </w:p>
        </w:tc>
        <w:tc>
          <w:tcPr>
            <w:tcW w:w="2466" w:type="dxa"/>
            <w:vAlign w:val="center"/>
          </w:tcPr>
          <w:p>
            <w:pPr>
              <w:pStyle w:val="16"/>
            </w:pPr>
            <w:r>
              <w:t>100%</w:t>
            </w:r>
          </w:p>
        </w:tc>
        <w:tc>
          <w:tcPr>
            <w:tcW w:w="2466" w:type="dxa"/>
            <w:vAlign w:val="center"/>
          </w:tcPr>
          <w:p>
            <w:pPr>
              <w:pStyle w:val="16"/>
            </w:pPr>
            <w:r>
              <w:t>专家评审论证意见</w:t>
            </w:r>
          </w:p>
        </w:tc>
      </w:tr>
      <w:tr>
        <w:trPr>
          <w:trHeight w:val="397" w:hRule="atLeast"/>
          <w:jc w:val="center"/>
        </w:trPr>
        <w:tc>
          <w:tcPr>
            <w:tcW w:w="2466" w:type="dxa"/>
            <w:vMerge w:val="continue"/>
            <w:vAlign w:val="center"/>
          </w:tcPr>
          <w:p/>
        </w:tc>
        <w:tc>
          <w:tcPr>
            <w:tcW w:w="1779" w:type="dxa"/>
            <w:vAlign w:val="center"/>
          </w:tcPr>
          <w:p>
            <w:pPr>
              <w:pStyle w:val="16"/>
            </w:pPr>
            <w:r>
              <w:t>时效指标</w:t>
            </w:r>
          </w:p>
        </w:tc>
        <w:tc>
          <w:tcPr>
            <w:tcW w:w="2072" w:type="dxa"/>
            <w:vAlign w:val="center"/>
          </w:tcPr>
          <w:p>
            <w:pPr>
              <w:pStyle w:val="16"/>
            </w:pPr>
            <w:r>
              <w:t>项目完成时间</w:t>
            </w:r>
          </w:p>
        </w:tc>
        <w:tc>
          <w:tcPr>
            <w:tcW w:w="3547" w:type="dxa"/>
            <w:vAlign w:val="center"/>
          </w:tcPr>
          <w:p>
            <w:pPr>
              <w:pStyle w:val="16"/>
            </w:pPr>
            <w:r>
              <w:t>按时提交规划成果</w:t>
            </w:r>
          </w:p>
        </w:tc>
        <w:tc>
          <w:tcPr>
            <w:tcW w:w="2466" w:type="dxa"/>
            <w:vAlign w:val="center"/>
          </w:tcPr>
          <w:p>
            <w:pPr>
              <w:pStyle w:val="16"/>
            </w:pPr>
            <w:r>
              <w:t>依照合同约定时间</w:t>
            </w:r>
          </w:p>
        </w:tc>
        <w:tc>
          <w:tcPr>
            <w:tcW w:w="2466" w:type="dxa"/>
            <w:vAlign w:val="center"/>
          </w:tcPr>
          <w:p>
            <w:pPr>
              <w:pStyle w:val="16"/>
            </w:pPr>
            <w:r>
              <w:t>依照合同约定时间</w:t>
            </w:r>
          </w:p>
        </w:tc>
      </w:tr>
      <w:tr>
        <w:trPr>
          <w:trHeight w:val="397" w:hRule="atLeast"/>
          <w:jc w:val="center"/>
        </w:trPr>
        <w:tc>
          <w:tcPr>
            <w:tcW w:w="2466" w:type="dxa"/>
            <w:vMerge w:val="continue"/>
            <w:vAlign w:val="center"/>
          </w:tcPr>
          <w:p/>
        </w:tc>
        <w:tc>
          <w:tcPr>
            <w:tcW w:w="1779" w:type="dxa"/>
            <w:vAlign w:val="center"/>
          </w:tcPr>
          <w:p>
            <w:pPr>
              <w:pStyle w:val="16"/>
            </w:pPr>
            <w:r>
              <w:t>成本指标</w:t>
            </w:r>
          </w:p>
        </w:tc>
        <w:tc>
          <w:tcPr>
            <w:tcW w:w="2072" w:type="dxa"/>
            <w:vAlign w:val="center"/>
          </w:tcPr>
          <w:p>
            <w:pPr>
              <w:pStyle w:val="16"/>
            </w:pPr>
            <w:r>
              <w:t>成本控制总价</w:t>
            </w:r>
          </w:p>
        </w:tc>
        <w:tc>
          <w:tcPr>
            <w:tcW w:w="3547" w:type="dxa"/>
            <w:vAlign w:val="center"/>
          </w:tcPr>
          <w:p>
            <w:pPr>
              <w:pStyle w:val="16"/>
            </w:pPr>
            <w:r>
              <w:t>成本控制总价为8.1万元，超出约定不得分</w:t>
            </w:r>
          </w:p>
        </w:tc>
        <w:tc>
          <w:tcPr>
            <w:tcW w:w="2466" w:type="dxa"/>
            <w:vAlign w:val="center"/>
          </w:tcPr>
          <w:p>
            <w:pPr>
              <w:pStyle w:val="16"/>
            </w:pPr>
            <w:r>
              <w:t>≤8.1万元</w:t>
            </w:r>
          </w:p>
        </w:tc>
        <w:tc>
          <w:tcPr>
            <w:tcW w:w="2466" w:type="dxa"/>
            <w:vAlign w:val="center"/>
          </w:tcPr>
          <w:p>
            <w:pPr>
              <w:pStyle w:val="16"/>
            </w:pPr>
            <w:r>
              <w:t>依照合同约定时间</w:t>
            </w:r>
          </w:p>
        </w:tc>
      </w:tr>
      <w:tr>
        <w:trPr>
          <w:trHeight w:val="397" w:hRule="atLeast"/>
          <w:jc w:val="center"/>
        </w:trPr>
        <w:tc>
          <w:tcPr>
            <w:tcW w:w="2466" w:type="dxa"/>
            <w:vMerge w:val="restart"/>
            <w:vAlign w:val="center"/>
          </w:tcPr>
          <w:p>
            <w:pPr>
              <w:pStyle w:val="17"/>
            </w:pPr>
            <w:r>
              <w:t>效益指标</w:t>
            </w:r>
          </w:p>
        </w:tc>
        <w:tc>
          <w:tcPr>
            <w:tcW w:w="1779" w:type="dxa"/>
            <w:vAlign w:val="center"/>
          </w:tcPr>
          <w:p>
            <w:pPr>
              <w:pStyle w:val="16"/>
            </w:pPr>
            <w:r>
              <w:t>经济效益指标</w:t>
            </w:r>
          </w:p>
        </w:tc>
        <w:tc>
          <w:tcPr>
            <w:tcW w:w="2072" w:type="dxa"/>
            <w:vAlign w:val="center"/>
          </w:tcPr>
          <w:p>
            <w:pPr>
              <w:pStyle w:val="16"/>
            </w:pPr>
            <w:r>
              <w:t>合理安排建设时序</w:t>
            </w:r>
          </w:p>
        </w:tc>
        <w:tc>
          <w:tcPr>
            <w:tcW w:w="3547" w:type="dxa"/>
            <w:vAlign w:val="center"/>
          </w:tcPr>
          <w:p>
            <w:pPr>
              <w:pStyle w:val="16"/>
            </w:pPr>
            <w:r>
              <w:t>合理安排防洪排涝体系、引水布局、生态廊道、智慧运维的建设步骤，保证设施服务能力、规模与对应发展阶段的实际使用需求相匹配。</w:t>
            </w:r>
          </w:p>
        </w:tc>
        <w:tc>
          <w:tcPr>
            <w:tcW w:w="2466" w:type="dxa"/>
            <w:vAlign w:val="center"/>
          </w:tcPr>
          <w:p>
            <w:pPr>
              <w:pStyle w:val="16"/>
            </w:pPr>
            <w:r>
              <w:t>合理</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1779" w:type="dxa"/>
            <w:vAlign w:val="center"/>
          </w:tcPr>
          <w:p>
            <w:pPr>
              <w:pStyle w:val="16"/>
            </w:pPr>
            <w:r>
              <w:t>社会效益指标</w:t>
            </w:r>
          </w:p>
        </w:tc>
        <w:tc>
          <w:tcPr>
            <w:tcW w:w="2072" w:type="dxa"/>
            <w:vAlign w:val="center"/>
          </w:tcPr>
          <w:p>
            <w:pPr>
              <w:pStyle w:val="16"/>
            </w:pPr>
            <w:r>
              <w:t>设施布局</w:t>
            </w:r>
          </w:p>
        </w:tc>
        <w:tc>
          <w:tcPr>
            <w:tcW w:w="3547" w:type="dxa"/>
            <w:vAlign w:val="center"/>
          </w:tcPr>
          <w:p>
            <w:pPr>
              <w:pStyle w:val="16"/>
            </w:pPr>
            <w:r>
              <w:t>保障航空物流区排涝安全，改善滨水生态环境，提高居民环境保护意识</w:t>
            </w:r>
          </w:p>
        </w:tc>
        <w:tc>
          <w:tcPr>
            <w:tcW w:w="2466" w:type="dxa"/>
            <w:vAlign w:val="center"/>
          </w:tcPr>
          <w:p>
            <w:pPr>
              <w:pStyle w:val="16"/>
            </w:pPr>
            <w:r>
              <w:t>合理</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1779" w:type="dxa"/>
            <w:vAlign w:val="center"/>
          </w:tcPr>
          <w:p>
            <w:pPr>
              <w:pStyle w:val="16"/>
            </w:pPr>
            <w:r>
              <w:t>生态效益指标</w:t>
            </w:r>
          </w:p>
        </w:tc>
        <w:tc>
          <w:tcPr>
            <w:tcW w:w="2072" w:type="dxa"/>
            <w:vAlign w:val="center"/>
          </w:tcPr>
          <w:p>
            <w:pPr>
              <w:pStyle w:val="16"/>
            </w:pPr>
            <w:r>
              <w:t>为生态良好保驾护航</w:t>
            </w:r>
          </w:p>
        </w:tc>
        <w:tc>
          <w:tcPr>
            <w:tcW w:w="3547" w:type="dxa"/>
            <w:vAlign w:val="center"/>
          </w:tcPr>
          <w:p>
            <w:pPr>
              <w:pStyle w:val="16"/>
            </w:pPr>
            <w:r>
              <w:t>保障河道生态用水，涵养水源，改善河流生态环境，改善河流水质，达到良好的环境效益</w:t>
            </w:r>
          </w:p>
        </w:tc>
        <w:tc>
          <w:tcPr>
            <w:tcW w:w="2466" w:type="dxa"/>
            <w:vAlign w:val="center"/>
          </w:tcPr>
          <w:p>
            <w:pPr>
              <w:pStyle w:val="16"/>
            </w:pPr>
            <w:r>
              <w:t>合理</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1779" w:type="dxa"/>
            <w:vAlign w:val="center"/>
          </w:tcPr>
          <w:p>
            <w:pPr>
              <w:pStyle w:val="16"/>
            </w:pPr>
            <w:r>
              <w:t>可持续影响指标</w:t>
            </w:r>
          </w:p>
        </w:tc>
        <w:tc>
          <w:tcPr>
            <w:tcW w:w="2072" w:type="dxa"/>
            <w:vAlign w:val="center"/>
          </w:tcPr>
          <w:p>
            <w:pPr>
              <w:pStyle w:val="16"/>
            </w:pPr>
            <w:r>
              <w:t>指导建设实施</w:t>
            </w:r>
          </w:p>
        </w:tc>
        <w:tc>
          <w:tcPr>
            <w:tcW w:w="3547" w:type="dxa"/>
            <w:vAlign w:val="center"/>
          </w:tcPr>
          <w:p>
            <w:pPr>
              <w:pStyle w:val="16"/>
            </w:pPr>
            <w:r>
              <w:t>通过对新区各项建设发展数据的系统梳理分析，为临空区后期工作成效和问题分析提供数据模板</w:t>
            </w:r>
          </w:p>
        </w:tc>
        <w:tc>
          <w:tcPr>
            <w:tcW w:w="2466" w:type="dxa"/>
            <w:vAlign w:val="center"/>
          </w:tcPr>
          <w:p>
            <w:pPr>
              <w:pStyle w:val="16"/>
            </w:pPr>
            <w:r>
              <w:t>健全</w:t>
            </w:r>
          </w:p>
        </w:tc>
        <w:tc>
          <w:tcPr>
            <w:tcW w:w="2466" w:type="dxa"/>
            <w:vAlign w:val="center"/>
          </w:tcPr>
          <w:p>
            <w:pPr>
              <w:pStyle w:val="16"/>
            </w:pPr>
            <w:r>
              <w:t>效果显著</w:t>
            </w:r>
          </w:p>
        </w:tc>
      </w:tr>
      <w:tr>
        <w:trPr>
          <w:trHeight w:val="397" w:hRule="atLeast"/>
          <w:jc w:val="center"/>
        </w:trPr>
        <w:tc>
          <w:tcPr>
            <w:tcW w:w="2466" w:type="dxa"/>
            <w:vAlign w:val="center"/>
          </w:tcPr>
          <w:p>
            <w:pPr>
              <w:pStyle w:val="17"/>
            </w:pPr>
            <w:r>
              <w:t>满意度指标</w:t>
            </w:r>
          </w:p>
        </w:tc>
        <w:tc>
          <w:tcPr>
            <w:tcW w:w="1779" w:type="dxa"/>
            <w:vAlign w:val="center"/>
          </w:tcPr>
          <w:p>
            <w:pPr>
              <w:pStyle w:val="16"/>
            </w:pPr>
            <w:r>
              <w:t>服务对象满意度指标</w:t>
            </w:r>
          </w:p>
        </w:tc>
        <w:tc>
          <w:tcPr>
            <w:tcW w:w="2072" w:type="dxa"/>
            <w:vAlign w:val="center"/>
          </w:tcPr>
          <w:p>
            <w:pPr>
              <w:pStyle w:val="16"/>
            </w:pPr>
            <w:r>
              <w:t>项目满意度</w:t>
            </w:r>
          </w:p>
        </w:tc>
        <w:tc>
          <w:tcPr>
            <w:tcW w:w="3547" w:type="dxa"/>
            <w:vAlign w:val="center"/>
          </w:tcPr>
          <w:p>
            <w:pPr>
              <w:pStyle w:val="16"/>
            </w:pPr>
            <w:r>
              <w:t>项目满意度</w:t>
            </w:r>
          </w:p>
        </w:tc>
        <w:tc>
          <w:tcPr>
            <w:tcW w:w="2466" w:type="dxa"/>
            <w:vAlign w:val="center"/>
          </w:tcPr>
          <w:p>
            <w:pPr>
              <w:pStyle w:val="16"/>
            </w:pPr>
            <w:r>
              <w:t>≥90%</w:t>
            </w:r>
          </w:p>
        </w:tc>
        <w:tc>
          <w:tcPr>
            <w:tcW w:w="2466"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4、2021年科技创新区水系规划深化设计绩效目标表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1.按照北京大兴国际机场临空经济区建设安排部署，指导临空经济区高质量建设，开展科技创新区水系规划深化设计编制工作，为高质量建设临空经济区提供依据和指导</w:t>
            </w:r>
          </w:p>
          <w:p>
            <w:pPr>
              <w:pStyle w:val="16"/>
            </w:pPr>
            <w:r>
              <w:t>2.开展科技创新区水系规划深化设计编制工作，为高质量建设临空经济区提供依据和指导</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规划编制方案成果数量</w:t>
            </w:r>
          </w:p>
        </w:tc>
        <w:tc>
          <w:tcPr>
            <w:tcW w:w="2835" w:type="dxa"/>
            <w:vAlign w:val="center"/>
          </w:tcPr>
          <w:p>
            <w:pPr>
              <w:pStyle w:val="16"/>
            </w:pPr>
            <w:r>
              <w:t>规划编制说明书、文本册和图册</w:t>
            </w:r>
          </w:p>
        </w:tc>
        <w:tc>
          <w:tcPr>
            <w:tcW w:w="2551" w:type="dxa"/>
            <w:vAlign w:val="center"/>
          </w:tcPr>
          <w:p>
            <w:pPr>
              <w:pStyle w:val="16"/>
            </w:pPr>
            <w:r>
              <w:t>8套</w:t>
            </w:r>
          </w:p>
        </w:tc>
        <w:tc>
          <w:tcPr>
            <w:tcW w:w="2268" w:type="dxa"/>
            <w:vAlign w:val="center"/>
          </w:tcPr>
          <w:p>
            <w:pPr>
              <w:pStyle w:val="16"/>
            </w:pPr>
            <w:r>
              <w:t>根据合同约定</w:t>
            </w:r>
          </w:p>
        </w:tc>
      </w:tr>
      <w:tr>
        <w:trPr>
          <w:trHeight w:val="452"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评审通过率</w:t>
            </w:r>
          </w:p>
        </w:tc>
        <w:tc>
          <w:tcPr>
            <w:tcW w:w="2835" w:type="dxa"/>
            <w:vAlign w:val="center"/>
          </w:tcPr>
          <w:p>
            <w:pPr>
              <w:pStyle w:val="16"/>
            </w:pPr>
            <w:r>
              <w:t>专家评审通过率</w:t>
            </w:r>
          </w:p>
        </w:tc>
        <w:tc>
          <w:tcPr>
            <w:tcW w:w="2551" w:type="dxa"/>
            <w:vAlign w:val="center"/>
          </w:tcPr>
          <w:p>
            <w:pPr>
              <w:pStyle w:val="16"/>
            </w:pPr>
            <w:r>
              <w:t>100%</w:t>
            </w:r>
          </w:p>
        </w:tc>
        <w:tc>
          <w:tcPr>
            <w:tcW w:w="2268" w:type="dxa"/>
            <w:vAlign w:val="center"/>
          </w:tcPr>
          <w:p>
            <w:pPr>
              <w:pStyle w:val="16"/>
            </w:pPr>
            <w:r>
              <w:t>专家评审论证意见</w:t>
            </w:r>
          </w:p>
        </w:tc>
      </w:tr>
      <w:tr>
        <w:trPr>
          <w:trHeight w:val="545"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成果提交时间率</w:t>
            </w:r>
          </w:p>
        </w:tc>
        <w:tc>
          <w:tcPr>
            <w:tcW w:w="2835" w:type="dxa"/>
            <w:vAlign w:val="center"/>
          </w:tcPr>
          <w:p>
            <w:pPr>
              <w:pStyle w:val="16"/>
            </w:pPr>
            <w:r>
              <w:t>按约定时间及时提交成果</w:t>
            </w:r>
          </w:p>
        </w:tc>
        <w:tc>
          <w:tcPr>
            <w:tcW w:w="2551" w:type="dxa"/>
            <w:vAlign w:val="center"/>
          </w:tcPr>
          <w:p>
            <w:pPr>
              <w:pStyle w:val="16"/>
            </w:pPr>
            <w:r>
              <w:t>2023年3月底</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项目总价</w:t>
            </w:r>
          </w:p>
        </w:tc>
        <w:tc>
          <w:tcPr>
            <w:tcW w:w="2551" w:type="dxa"/>
            <w:vAlign w:val="center"/>
          </w:tcPr>
          <w:p>
            <w:pPr>
              <w:pStyle w:val="16"/>
            </w:pPr>
            <w:r>
              <w:t>≤85万元</w:t>
            </w:r>
          </w:p>
        </w:tc>
        <w:tc>
          <w:tcPr>
            <w:tcW w:w="2268" w:type="dxa"/>
            <w:vAlign w:val="center"/>
          </w:tcPr>
          <w:p>
            <w:pPr>
              <w:pStyle w:val="16"/>
            </w:pPr>
            <w:r>
              <w:t>依照合同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用地布局</w:t>
            </w:r>
          </w:p>
        </w:tc>
        <w:tc>
          <w:tcPr>
            <w:tcW w:w="2835" w:type="dxa"/>
            <w:vAlign w:val="center"/>
          </w:tcPr>
          <w:p>
            <w:pPr>
              <w:pStyle w:val="16"/>
            </w:pPr>
            <w:r>
              <w:t>优先保障市政基础设施、公共服务设施和安全设施的落位</w:t>
            </w:r>
          </w:p>
        </w:tc>
        <w:tc>
          <w:tcPr>
            <w:tcW w:w="2551" w:type="dxa"/>
            <w:vAlign w:val="center"/>
          </w:tcPr>
          <w:p>
            <w:pPr>
              <w:pStyle w:val="16"/>
            </w:pPr>
            <w:r>
              <w:t>合理</w:t>
            </w:r>
          </w:p>
        </w:tc>
        <w:tc>
          <w:tcPr>
            <w:tcW w:w="2268" w:type="dxa"/>
            <w:vAlign w:val="center"/>
          </w:tcPr>
          <w:p>
            <w:pPr>
              <w:pStyle w:val="16"/>
            </w:pPr>
            <w:r>
              <w:t>显著增强</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有关科室对相关工作满意度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5、2021年起步区控制性详细规划评估及动态维护项目编制费绩效目标表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1.按照北京大兴国际机场临空经济区建设安排部署，指导临空经济区高质量建设，开展临空经济区起步区控制性详细规划评估及动态维护编制工作，为高质量建设临空经济区提供依据和指导</w:t>
            </w:r>
          </w:p>
          <w:p>
            <w:pPr>
              <w:pStyle w:val="16"/>
            </w:pPr>
            <w:r>
              <w:t>2.开展临空经济区起步区控制性详细规划评估及动态维护编制工作，为高质量建设临空经济区提供依据和指导</w:t>
            </w:r>
          </w:p>
          <w:p>
            <w:pPr>
              <w:pStyle w:val="16"/>
            </w:pP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规划编制方案成果数量</w:t>
            </w:r>
          </w:p>
        </w:tc>
        <w:tc>
          <w:tcPr>
            <w:tcW w:w="2835" w:type="dxa"/>
            <w:vAlign w:val="center"/>
          </w:tcPr>
          <w:p>
            <w:pPr>
              <w:pStyle w:val="16"/>
            </w:pPr>
            <w:r>
              <w:t>规划编制说明书、文本册和图册</w:t>
            </w:r>
          </w:p>
        </w:tc>
        <w:tc>
          <w:tcPr>
            <w:tcW w:w="2551" w:type="dxa"/>
            <w:vAlign w:val="center"/>
          </w:tcPr>
          <w:p>
            <w:pPr>
              <w:pStyle w:val="16"/>
            </w:pPr>
            <w:r>
              <w:t>8套</w:t>
            </w:r>
          </w:p>
        </w:tc>
        <w:tc>
          <w:tcPr>
            <w:tcW w:w="2268" w:type="dxa"/>
            <w:vAlign w:val="center"/>
          </w:tcPr>
          <w:p>
            <w:pPr>
              <w:pStyle w:val="16"/>
            </w:pPr>
            <w:r>
              <w:t>根据合同约定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评审通过率</w:t>
            </w:r>
          </w:p>
        </w:tc>
        <w:tc>
          <w:tcPr>
            <w:tcW w:w="2835" w:type="dxa"/>
            <w:vAlign w:val="center"/>
          </w:tcPr>
          <w:p>
            <w:pPr>
              <w:pStyle w:val="16"/>
            </w:pPr>
            <w:r>
              <w:t>专家评审通过率</w:t>
            </w:r>
          </w:p>
        </w:tc>
        <w:tc>
          <w:tcPr>
            <w:tcW w:w="2551" w:type="dxa"/>
            <w:vAlign w:val="center"/>
          </w:tcPr>
          <w:p>
            <w:pPr>
              <w:pStyle w:val="16"/>
            </w:pPr>
            <w:r>
              <w:t>100%</w:t>
            </w:r>
          </w:p>
        </w:tc>
        <w:tc>
          <w:tcPr>
            <w:tcW w:w="2268" w:type="dxa"/>
            <w:vAlign w:val="center"/>
          </w:tcPr>
          <w:p>
            <w:pPr>
              <w:pStyle w:val="16"/>
            </w:pPr>
            <w:r>
              <w:t>专家评审论证意见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成果提交时间率</w:t>
            </w:r>
          </w:p>
        </w:tc>
        <w:tc>
          <w:tcPr>
            <w:tcW w:w="2835" w:type="dxa"/>
            <w:vAlign w:val="center"/>
          </w:tcPr>
          <w:p>
            <w:pPr>
              <w:pStyle w:val="16"/>
            </w:pPr>
            <w:r>
              <w:t>按约定时间及时提交成果</w:t>
            </w:r>
          </w:p>
        </w:tc>
        <w:tc>
          <w:tcPr>
            <w:tcW w:w="2551" w:type="dxa"/>
            <w:vAlign w:val="center"/>
          </w:tcPr>
          <w:p>
            <w:pPr>
              <w:pStyle w:val="16"/>
            </w:pPr>
            <w:r>
              <w:t>2023年6月底</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项目总价</w:t>
            </w:r>
          </w:p>
        </w:tc>
        <w:tc>
          <w:tcPr>
            <w:tcW w:w="2551" w:type="dxa"/>
            <w:vAlign w:val="center"/>
          </w:tcPr>
          <w:p>
            <w:pPr>
              <w:pStyle w:val="16"/>
            </w:pPr>
            <w:r>
              <w:t>≤80万元</w:t>
            </w:r>
          </w:p>
        </w:tc>
        <w:tc>
          <w:tcPr>
            <w:tcW w:w="2268" w:type="dxa"/>
            <w:vAlign w:val="center"/>
          </w:tcPr>
          <w:p>
            <w:pPr>
              <w:pStyle w:val="16"/>
            </w:pPr>
            <w:r>
              <w:t>依照合同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用地布局</w:t>
            </w:r>
          </w:p>
        </w:tc>
        <w:tc>
          <w:tcPr>
            <w:tcW w:w="2835" w:type="dxa"/>
            <w:vAlign w:val="center"/>
          </w:tcPr>
          <w:p>
            <w:pPr>
              <w:pStyle w:val="16"/>
            </w:pPr>
            <w:r>
              <w:t>优先保障市政基础设施、公共服务设施和安全设施的落位</w:t>
            </w:r>
          </w:p>
        </w:tc>
        <w:tc>
          <w:tcPr>
            <w:tcW w:w="2551" w:type="dxa"/>
            <w:vAlign w:val="center"/>
          </w:tcPr>
          <w:p>
            <w:pPr>
              <w:pStyle w:val="16"/>
            </w:pPr>
            <w:r>
              <w:t>合理</w:t>
            </w:r>
          </w:p>
        </w:tc>
        <w:tc>
          <w:tcPr>
            <w:tcW w:w="2268" w:type="dxa"/>
            <w:vAlign w:val="center"/>
          </w:tcPr>
          <w:p>
            <w:pPr>
              <w:pStyle w:val="16"/>
            </w:pPr>
            <w:r>
              <w:t>显著增强</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有关科室对相关工作满意度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6、2021年土地储备供应咨询及服务项目绩效目标表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1.尽快完成管委会安排部署的既定招商项目、市政项目的土地储备供应工作，保证临空经济区建设进度，保障重点产业项目加速落地</w:t>
            </w:r>
          </w:p>
          <w:p>
            <w:pPr>
              <w:pStyle w:val="16"/>
            </w:pPr>
            <w:r>
              <w:t>2.保障重点产业项目加速落地，土地供应工作顺利开展，保证临空经济区建设进度</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个数</w:t>
            </w:r>
          </w:p>
        </w:tc>
        <w:tc>
          <w:tcPr>
            <w:tcW w:w="2835" w:type="dxa"/>
            <w:vAlign w:val="center"/>
          </w:tcPr>
          <w:p>
            <w:pPr>
              <w:pStyle w:val="16"/>
            </w:pPr>
            <w:r>
              <w:t>合同数量</w:t>
            </w:r>
          </w:p>
        </w:tc>
        <w:tc>
          <w:tcPr>
            <w:tcW w:w="2551" w:type="dxa"/>
            <w:vAlign w:val="center"/>
          </w:tcPr>
          <w:p>
            <w:pPr>
              <w:pStyle w:val="16"/>
            </w:pPr>
            <w:r>
              <w:t>13个</w:t>
            </w:r>
          </w:p>
        </w:tc>
        <w:tc>
          <w:tcPr>
            <w:tcW w:w="2268" w:type="dxa"/>
            <w:vAlign w:val="center"/>
          </w:tcPr>
          <w:p>
            <w:pPr>
              <w:pStyle w:val="16"/>
            </w:pPr>
            <w:r>
              <w:t>合同数量</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是否符合审批要求</w:t>
            </w:r>
          </w:p>
        </w:tc>
        <w:tc>
          <w:tcPr>
            <w:tcW w:w="2551" w:type="dxa"/>
            <w:vAlign w:val="center"/>
          </w:tcPr>
          <w:p>
            <w:pPr>
              <w:pStyle w:val="16"/>
            </w:pPr>
            <w:r>
              <w:t>≥90%</w:t>
            </w:r>
          </w:p>
        </w:tc>
        <w:tc>
          <w:tcPr>
            <w:tcW w:w="2268" w:type="dxa"/>
            <w:vAlign w:val="center"/>
          </w:tcPr>
          <w:p>
            <w:pPr>
              <w:pStyle w:val="16"/>
            </w:pPr>
            <w:r>
              <w:t>审批意见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合同规定工期</w:t>
            </w:r>
          </w:p>
        </w:tc>
        <w:tc>
          <w:tcPr>
            <w:tcW w:w="2551" w:type="dxa"/>
            <w:vAlign w:val="center"/>
          </w:tcPr>
          <w:p>
            <w:pPr>
              <w:pStyle w:val="16"/>
            </w:pPr>
            <w:r>
              <w:t>按项目要求</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w:t>
            </w:r>
          </w:p>
        </w:tc>
        <w:tc>
          <w:tcPr>
            <w:tcW w:w="2835" w:type="dxa"/>
            <w:vAlign w:val="center"/>
          </w:tcPr>
          <w:p>
            <w:pPr>
              <w:pStyle w:val="16"/>
            </w:pPr>
            <w:r>
              <w:t>符合行业收费标准</w:t>
            </w:r>
          </w:p>
        </w:tc>
        <w:tc>
          <w:tcPr>
            <w:tcW w:w="2551" w:type="dxa"/>
            <w:vAlign w:val="center"/>
          </w:tcPr>
          <w:p>
            <w:pPr>
              <w:pStyle w:val="16"/>
            </w:pPr>
            <w:r>
              <w:t>合同金额</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保障土地供应工作顺利开展</w:t>
            </w:r>
          </w:p>
        </w:tc>
        <w:tc>
          <w:tcPr>
            <w:tcW w:w="2835" w:type="dxa"/>
            <w:vAlign w:val="center"/>
          </w:tcPr>
          <w:p>
            <w:pPr>
              <w:pStyle w:val="16"/>
            </w:pPr>
            <w:r>
              <w:t>通过咨询服务保障土地供应顺利开展</w:t>
            </w:r>
          </w:p>
        </w:tc>
        <w:tc>
          <w:tcPr>
            <w:tcW w:w="2551" w:type="dxa"/>
            <w:vAlign w:val="center"/>
          </w:tcPr>
          <w:p>
            <w:pPr>
              <w:pStyle w:val="16"/>
            </w:pPr>
            <w:r>
              <w:t>有效保障</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甲方评定</w:t>
            </w:r>
          </w:p>
        </w:tc>
        <w:tc>
          <w:tcPr>
            <w:tcW w:w="2835" w:type="dxa"/>
            <w:vAlign w:val="center"/>
          </w:tcPr>
          <w:p>
            <w:pPr>
              <w:pStyle w:val="16"/>
            </w:pPr>
            <w:r>
              <w:t>科室满意人数/调查总人数*100%</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7、2021年综合能源规划深化设计绩效目标表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临空经济区高质量建设，开展临空经济区海绵城市建设导则、图集编制工作，明确临空经济区海绵城市建设标准要求，为高质量建设临空经济区提供依据和指导。</w:t>
            </w:r>
          </w:p>
          <w:p>
            <w:pPr>
              <w:pStyle w:val="16"/>
            </w:pPr>
            <w:r>
              <w:t>2.开展临空经济区海绵城市建设导则、图集编制工作，明确临空经济区海绵城市建设、运维标准要求，为高质量建设临空经济区提供依据和指导。</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规划编制方案成果数量</w:t>
            </w:r>
          </w:p>
        </w:tc>
        <w:tc>
          <w:tcPr>
            <w:tcW w:w="2835" w:type="dxa"/>
            <w:vAlign w:val="center"/>
          </w:tcPr>
          <w:p>
            <w:pPr>
              <w:pStyle w:val="16"/>
            </w:pPr>
            <w:r>
              <w:t>编制完成后提供最终成果册</w:t>
            </w:r>
          </w:p>
        </w:tc>
        <w:tc>
          <w:tcPr>
            <w:tcW w:w="2551" w:type="dxa"/>
            <w:vAlign w:val="center"/>
          </w:tcPr>
          <w:p>
            <w:pPr>
              <w:pStyle w:val="16"/>
            </w:pPr>
            <w:r>
              <w:t>≥8套</w:t>
            </w:r>
          </w:p>
        </w:tc>
        <w:tc>
          <w:tcPr>
            <w:tcW w:w="2268" w:type="dxa"/>
            <w:vAlign w:val="center"/>
          </w:tcPr>
          <w:p>
            <w:pPr>
              <w:pStyle w:val="16"/>
            </w:pPr>
            <w:r>
              <w:t>依据合同约定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专家评审通过率及临空经济区规委会审议通过率</w:t>
            </w:r>
          </w:p>
        </w:tc>
        <w:tc>
          <w:tcPr>
            <w:tcW w:w="2835" w:type="dxa"/>
            <w:vAlign w:val="center"/>
          </w:tcPr>
          <w:p>
            <w:pPr>
              <w:pStyle w:val="16"/>
            </w:pPr>
            <w:r>
              <w:t>临空经济区管委会组织专家及规委会对编制方案进行评审</w:t>
            </w:r>
          </w:p>
        </w:tc>
        <w:tc>
          <w:tcPr>
            <w:tcW w:w="2551" w:type="dxa"/>
            <w:vAlign w:val="center"/>
          </w:tcPr>
          <w:p>
            <w:pPr>
              <w:pStyle w:val="16"/>
            </w:pPr>
            <w:r>
              <w:t>≥90%</w:t>
            </w:r>
          </w:p>
        </w:tc>
        <w:tc>
          <w:tcPr>
            <w:tcW w:w="2268" w:type="dxa"/>
            <w:vAlign w:val="center"/>
          </w:tcPr>
          <w:p>
            <w:pPr>
              <w:pStyle w:val="16"/>
            </w:pPr>
            <w:r>
              <w:t>专家评审论证意见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按时提交规划成果</w:t>
            </w:r>
          </w:p>
        </w:tc>
        <w:tc>
          <w:tcPr>
            <w:tcW w:w="2551" w:type="dxa"/>
            <w:vAlign w:val="center"/>
          </w:tcPr>
          <w:p>
            <w:pPr>
              <w:pStyle w:val="16"/>
            </w:pPr>
            <w:r>
              <w:t>2023年12月31日前</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成本控制总价为8.85万元，超出约定不得分</w:t>
            </w:r>
          </w:p>
        </w:tc>
        <w:tc>
          <w:tcPr>
            <w:tcW w:w="2551" w:type="dxa"/>
            <w:vAlign w:val="center"/>
          </w:tcPr>
          <w:p>
            <w:pPr>
              <w:pStyle w:val="16"/>
            </w:pPr>
            <w:r>
              <w:t>≤8.85万元</w:t>
            </w:r>
          </w:p>
        </w:tc>
        <w:tc>
          <w:tcPr>
            <w:tcW w:w="2268" w:type="dxa"/>
            <w:vAlign w:val="center"/>
          </w:tcPr>
          <w:p>
            <w:pPr>
              <w:pStyle w:val="16"/>
            </w:pPr>
            <w:r>
              <w:t>依照合同约定时间</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合理安排建设时序</w:t>
            </w:r>
          </w:p>
        </w:tc>
        <w:tc>
          <w:tcPr>
            <w:tcW w:w="2835" w:type="dxa"/>
            <w:vAlign w:val="center"/>
          </w:tcPr>
          <w:p>
            <w:pPr>
              <w:pStyle w:val="16"/>
            </w:pPr>
            <w:r>
              <w:t>合理安排各类综合能源工程基础设施的建设步骤</w:t>
            </w:r>
          </w:p>
        </w:tc>
        <w:tc>
          <w:tcPr>
            <w:tcW w:w="2551" w:type="dxa"/>
            <w:vAlign w:val="center"/>
          </w:tcPr>
          <w:p>
            <w:pPr>
              <w:pStyle w:val="16"/>
            </w:pPr>
            <w:r>
              <w:t>科学合理</w:t>
            </w:r>
          </w:p>
        </w:tc>
        <w:tc>
          <w:tcPr>
            <w:tcW w:w="2268" w:type="dxa"/>
            <w:vAlign w:val="center"/>
          </w:tcPr>
          <w:p>
            <w:pPr>
              <w:pStyle w:val="16"/>
            </w:pPr>
            <w:r>
              <w:t>规委会会议纪要</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设施布局</w:t>
            </w:r>
          </w:p>
        </w:tc>
        <w:tc>
          <w:tcPr>
            <w:tcW w:w="2835" w:type="dxa"/>
            <w:vAlign w:val="center"/>
          </w:tcPr>
          <w:p>
            <w:pPr>
              <w:pStyle w:val="16"/>
            </w:pPr>
            <w:r>
              <w:t>保障规划的综合能源工程基础设施布局科学合理</w:t>
            </w:r>
          </w:p>
        </w:tc>
        <w:tc>
          <w:tcPr>
            <w:tcW w:w="2551" w:type="dxa"/>
            <w:vAlign w:val="center"/>
          </w:tcPr>
          <w:p>
            <w:pPr>
              <w:pStyle w:val="16"/>
            </w:pPr>
            <w:r>
              <w:t>提高</w:t>
            </w:r>
          </w:p>
        </w:tc>
        <w:tc>
          <w:tcPr>
            <w:tcW w:w="2268" w:type="dxa"/>
            <w:vAlign w:val="center"/>
          </w:tcPr>
          <w:p>
            <w:pPr>
              <w:pStyle w:val="16"/>
            </w:pPr>
            <w:r>
              <w:t>规委会会议纪要</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综合能源设施科学布局，管理体制合理建立</w:t>
            </w:r>
          </w:p>
        </w:tc>
        <w:tc>
          <w:tcPr>
            <w:tcW w:w="2835" w:type="dxa"/>
            <w:vAlign w:val="center"/>
          </w:tcPr>
          <w:p>
            <w:pPr>
              <w:pStyle w:val="16"/>
            </w:pPr>
            <w:r>
              <w:t>加大电力、天然气等常规清洁能源和可再生能源利用，减少污染物和碳排放，保护区域生态环境</w:t>
            </w:r>
          </w:p>
        </w:tc>
        <w:tc>
          <w:tcPr>
            <w:tcW w:w="2551" w:type="dxa"/>
            <w:vAlign w:val="center"/>
          </w:tcPr>
          <w:p>
            <w:pPr>
              <w:pStyle w:val="16"/>
            </w:pPr>
            <w:r>
              <w:t>优化</w:t>
            </w:r>
          </w:p>
        </w:tc>
        <w:tc>
          <w:tcPr>
            <w:tcW w:w="2268" w:type="dxa"/>
            <w:vAlign w:val="center"/>
          </w:tcPr>
          <w:p>
            <w:pPr>
              <w:pStyle w:val="16"/>
            </w:pPr>
            <w:r>
              <w:t>规委会会议纪要</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指导建设实施</w:t>
            </w:r>
          </w:p>
        </w:tc>
        <w:tc>
          <w:tcPr>
            <w:tcW w:w="2835" w:type="dxa"/>
            <w:vAlign w:val="center"/>
          </w:tcPr>
          <w:p>
            <w:pPr>
              <w:pStyle w:val="16"/>
            </w:pPr>
            <w:r>
              <w:t>为各类综合能源设施的规划设计提供依据</w:t>
            </w:r>
          </w:p>
        </w:tc>
        <w:tc>
          <w:tcPr>
            <w:tcW w:w="2551" w:type="dxa"/>
            <w:vAlign w:val="center"/>
          </w:tcPr>
          <w:p>
            <w:pPr>
              <w:pStyle w:val="16"/>
            </w:pPr>
            <w:r>
              <w:t>支撑</w:t>
            </w:r>
          </w:p>
        </w:tc>
        <w:tc>
          <w:tcPr>
            <w:tcW w:w="2268" w:type="dxa"/>
            <w:vAlign w:val="center"/>
          </w:tcPr>
          <w:p>
            <w:pPr>
              <w:pStyle w:val="16"/>
            </w:pPr>
            <w:r>
              <w:t>相关文件</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项目满意度</w:t>
            </w:r>
          </w:p>
        </w:tc>
        <w:tc>
          <w:tcPr>
            <w:tcW w:w="2835" w:type="dxa"/>
            <w:vAlign w:val="center"/>
          </w:tcPr>
          <w:p>
            <w:pPr>
              <w:pStyle w:val="16"/>
            </w:pPr>
            <w:r>
              <w:t>调查问卷满意人数/调查问卷总人数*100%</w:t>
            </w:r>
          </w:p>
        </w:tc>
        <w:tc>
          <w:tcPr>
            <w:tcW w:w="2551" w:type="dxa"/>
            <w:vAlign w:val="center"/>
          </w:tcPr>
          <w:p>
            <w:pPr>
              <w:pStyle w:val="16"/>
            </w:pPr>
            <w:r>
              <w:t>≥90%</w:t>
            </w:r>
          </w:p>
        </w:tc>
        <w:tc>
          <w:tcPr>
            <w:tcW w:w="2268"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8、2022年“证照分离”改革评估经费绩效目标表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1.通过项目的开展保障“证照分离”改革评估工作有序开展，提升政府行政服务效率。</w:t>
            </w:r>
          </w:p>
          <w:p>
            <w:pPr>
              <w:pStyle w:val="16"/>
            </w:pPr>
            <w:r>
              <w:t>2.召开专家评估研讨会不少于3次，调研座谈会不少于4次，编制评估报告1册。</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专家评估研讨会</w:t>
            </w:r>
          </w:p>
        </w:tc>
        <w:tc>
          <w:tcPr>
            <w:tcW w:w="2835" w:type="dxa"/>
            <w:vAlign w:val="center"/>
          </w:tcPr>
          <w:p>
            <w:pPr>
              <w:pStyle w:val="16"/>
            </w:pPr>
            <w:r>
              <w:t>专家组织有关部门组织研讨会次数</w:t>
            </w:r>
          </w:p>
        </w:tc>
        <w:tc>
          <w:tcPr>
            <w:tcW w:w="2551" w:type="dxa"/>
            <w:vAlign w:val="center"/>
          </w:tcPr>
          <w:p>
            <w:pPr>
              <w:pStyle w:val="16"/>
            </w:pPr>
            <w:r>
              <w:t>≥3次</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调研座谈会</w:t>
            </w:r>
          </w:p>
        </w:tc>
        <w:tc>
          <w:tcPr>
            <w:tcW w:w="2835" w:type="dxa"/>
            <w:vAlign w:val="center"/>
          </w:tcPr>
          <w:p>
            <w:pPr>
              <w:pStyle w:val="16"/>
            </w:pPr>
            <w:r>
              <w:t>与相关中介机构、市场主体进行座谈会次数</w:t>
            </w:r>
          </w:p>
        </w:tc>
        <w:tc>
          <w:tcPr>
            <w:tcW w:w="2551" w:type="dxa"/>
            <w:vAlign w:val="center"/>
          </w:tcPr>
          <w:p>
            <w:pPr>
              <w:pStyle w:val="16"/>
            </w:pPr>
            <w:r>
              <w:t>≥4次</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编制评估报告</w:t>
            </w:r>
          </w:p>
        </w:tc>
        <w:tc>
          <w:tcPr>
            <w:tcW w:w="2835" w:type="dxa"/>
            <w:vAlign w:val="center"/>
          </w:tcPr>
          <w:p>
            <w:pPr>
              <w:pStyle w:val="16"/>
            </w:pPr>
            <w:r>
              <w:t>编制评估报告</w:t>
            </w:r>
          </w:p>
        </w:tc>
        <w:tc>
          <w:tcPr>
            <w:tcW w:w="2551" w:type="dxa"/>
            <w:vAlign w:val="center"/>
          </w:tcPr>
          <w:p>
            <w:pPr>
              <w:pStyle w:val="16"/>
            </w:pPr>
            <w:r>
              <w:t>1册</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评估报告通过率</w:t>
            </w:r>
          </w:p>
        </w:tc>
        <w:tc>
          <w:tcPr>
            <w:tcW w:w="2835" w:type="dxa"/>
            <w:vAlign w:val="center"/>
          </w:tcPr>
          <w:p>
            <w:pPr>
              <w:pStyle w:val="16"/>
            </w:pPr>
            <w:r>
              <w:t>通过报告数量/总数量*100%</w:t>
            </w:r>
          </w:p>
        </w:tc>
        <w:tc>
          <w:tcPr>
            <w:tcW w:w="2551" w:type="dxa"/>
            <w:vAlign w:val="center"/>
          </w:tcPr>
          <w:p>
            <w:pPr>
              <w:pStyle w:val="16"/>
            </w:pPr>
            <w:r>
              <w:t>100%</w:t>
            </w:r>
          </w:p>
        </w:tc>
        <w:tc>
          <w:tcPr>
            <w:tcW w:w="2268" w:type="dxa"/>
            <w:vAlign w:val="center"/>
          </w:tcPr>
          <w:p>
            <w:pPr>
              <w:pStyle w:val="16"/>
            </w:pPr>
            <w:r>
              <w:t>文件要求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研讨会、座谈会及时召开率</w:t>
            </w:r>
          </w:p>
        </w:tc>
        <w:tc>
          <w:tcPr>
            <w:tcW w:w="2835" w:type="dxa"/>
            <w:vAlign w:val="center"/>
          </w:tcPr>
          <w:p>
            <w:pPr>
              <w:pStyle w:val="16"/>
            </w:pPr>
            <w:r>
              <w:t>召开研讨会、座谈会次数/总次数*100%</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三方评估费用</w:t>
            </w:r>
          </w:p>
        </w:tc>
        <w:tc>
          <w:tcPr>
            <w:tcW w:w="2835" w:type="dxa"/>
            <w:vAlign w:val="center"/>
          </w:tcPr>
          <w:p>
            <w:pPr>
              <w:pStyle w:val="16"/>
            </w:pPr>
            <w:r>
              <w:t>评估工作所需费用</w:t>
            </w:r>
          </w:p>
        </w:tc>
        <w:tc>
          <w:tcPr>
            <w:tcW w:w="2551" w:type="dxa"/>
            <w:vAlign w:val="center"/>
          </w:tcPr>
          <w:p>
            <w:pPr>
              <w:pStyle w:val="16"/>
            </w:pPr>
            <w:r>
              <w:t>≤7万元</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优化政府行政服务效率</w:t>
            </w:r>
          </w:p>
        </w:tc>
        <w:tc>
          <w:tcPr>
            <w:tcW w:w="2835" w:type="dxa"/>
            <w:vAlign w:val="center"/>
          </w:tcPr>
          <w:p>
            <w:pPr>
              <w:pStyle w:val="16"/>
            </w:pPr>
            <w:r>
              <w:t>优化办理流程，降低市场准入门槛，提升政府行政服务质量</w:t>
            </w:r>
          </w:p>
        </w:tc>
        <w:tc>
          <w:tcPr>
            <w:tcW w:w="2551" w:type="dxa"/>
            <w:vAlign w:val="center"/>
          </w:tcPr>
          <w:p>
            <w:pPr>
              <w:pStyle w:val="16"/>
            </w:pPr>
            <w:r>
              <w:t>优化</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满意企业数量/企业总数量*100%</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9、2022年城市环境综合整治提升年活动资金绩效目标表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1.充分发挥综合执法局职能，更好</w:t>
            </w:r>
            <w:r>
              <w:rPr>
                <w:rFonts w:hint="eastAsia"/>
                <w:lang w:val="en-US" w:eastAsia="zh-CN"/>
              </w:rPr>
              <w:t>地</w:t>
            </w:r>
            <w:r>
              <w:t>为临空经济区提供执法服务，提高临空经济区城市治理品质。</w:t>
            </w:r>
          </w:p>
          <w:p>
            <w:pPr>
              <w:pStyle w:val="16"/>
            </w:pPr>
            <w:r>
              <w:t>2.对内树立综合执法良好形象，提高行政执法人员业务素质，对外通过宣传营造良好执法氛围，专业律师全程咨询切实做到依法行政。</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宣传计划完成率</w:t>
            </w:r>
          </w:p>
        </w:tc>
        <w:tc>
          <w:tcPr>
            <w:tcW w:w="2835" w:type="dxa"/>
            <w:vAlign w:val="center"/>
          </w:tcPr>
          <w:p>
            <w:pPr>
              <w:pStyle w:val="16"/>
            </w:pPr>
            <w:r>
              <w:t>实际完成的项目数量占计划完成数量的比率</w:t>
            </w:r>
          </w:p>
        </w:tc>
        <w:tc>
          <w:tcPr>
            <w:tcW w:w="2551" w:type="dxa"/>
            <w:vAlign w:val="center"/>
          </w:tcPr>
          <w:p>
            <w:pPr>
              <w:pStyle w:val="16"/>
            </w:pPr>
            <w:r>
              <w:t>≥95%</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反映验收合格符合质量合格证书和验收成果的占比</w:t>
            </w:r>
          </w:p>
        </w:tc>
        <w:tc>
          <w:tcPr>
            <w:tcW w:w="2551" w:type="dxa"/>
            <w:vAlign w:val="center"/>
          </w:tcPr>
          <w:p>
            <w:pPr>
              <w:pStyle w:val="16"/>
            </w:pPr>
            <w:r>
              <w:t>≥95%</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各项工作完成进度</w:t>
            </w:r>
          </w:p>
        </w:tc>
        <w:tc>
          <w:tcPr>
            <w:tcW w:w="2835" w:type="dxa"/>
            <w:vAlign w:val="center"/>
          </w:tcPr>
          <w:p>
            <w:pPr>
              <w:pStyle w:val="16"/>
            </w:pPr>
            <w:r>
              <w:t>各项工作完成及时率</w:t>
            </w:r>
          </w:p>
        </w:tc>
        <w:tc>
          <w:tcPr>
            <w:tcW w:w="2551" w:type="dxa"/>
            <w:vAlign w:val="center"/>
          </w:tcPr>
          <w:p>
            <w:pPr>
              <w:pStyle w:val="16"/>
            </w:pPr>
            <w:r>
              <w:t>≥90%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150.57万元</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扩大社会影响力</w:t>
            </w:r>
          </w:p>
        </w:tc>
        <w:tc>
          <w:tcPr>
            <w:tcW w:w="2835" w:type="dxa"/>
            <w:vAlign w:val="center"/>
          </w:tcPr>
          <w:p>
            <w:pPr>
              <w:pStyle w:val="16"/>
            </w:pPr>
            <w:r>
              <w:t>通过业务开展，不断扩大临空经济区（廊坊片区）社会影响力</w:t>
            </w:r>
          </w:p>
        </w:tc>
        <w:tc>
          <w:tcPr>
            <w:tcW w:w="2551" w:type="dxa"/>
            <w:vAlign w:val="center"/>
          </w:tcPr>
          <w:p>
            <w:pPr>
              <w:pStyle w:val="16"/>
            </w:pPr>
            <w:r>
              <w:t>通过业务开展，不断扩大临空经济区（廊坊片区）社会影响力</w:t>
            </w:r>
          </w:p>
        </w:tc>
        <w:tc>
          <w:tcPr>
            <w:tcW w:w="2268" w:type="dxa"/>
            <w:vAlign w:val="center"/>
          </w:tcPr>
          <w:p>
            <w:pPr>
              <w:pStyle w:val="16"/>
            </w:pPr>
            <w:r>
              <w:t>社会影响力</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群众对工作满意度</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10、2022年防空专项规划绩效目标表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1.保证廊坊临空经济区域内防空专项规划编制完成。</w:t>
            </w:r>
          </w:p>
          <w:p>
            <w:pPr>
              <w:pStyle w:val="16"/>
            </w:pPr>
            <w:r>
              <w:t>2.编制完成临空经济区防空专项规划指导后续临空人防工程建设。</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更新面积</w:t>
            </w:r>
          </w:p>
        </w:tc>
        <w:tc>
          <w:tcPr>
            <w:tcW w:w="2835" w:type="dxa"/>
            <w:vAlign w:val="center"/>
          </w:tcPr>
          <w:p>
            <w:pPr>
              <w:pStyle w:val="16"/>
            </w:pPr>
            <w:r>
              <w:t>廊坊临空经济区区划范围内防空规划面积</w:t>
            </w:r>
          </w:p>
        </w:tc>
        <w:tc>
          <w:tcPr>
            <w:tcW w:w="2551" w:type="dxa"/>
            <w:vAlign w:val="center"/>
          </w:tcPr>
          <w:p>
            <w:pPr>
              <w:pStyle w:val="16"/>
            </w:pPr>
            <w:r>
              <w:t>≥1.5平方公里</w:t>
            </w:r>
          </w:p>
        </w:tc>
        <w:tc>
          <w:tcPr>
            <w:tcW w:w="2268" w:type="dxa"/>
            <w:vAlign w:val="center"/>
          </w:tcPr>
          <w:p>
            <w:pPr>
              <w:pStyle w:val="16"/>
            </w:pPr>
            <w:r>
              <w:t>参照临空区近两年城市建设变化率</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规划编制完成及时率</w:t>
            </w:r>
          </w:p>
        </w:tc>
        <w:tc>
          <w:tcPr>
            <w:tcW w:w="2835" w:type="dxa"/>
            <w:vAlign w:val="center"/>
          </w:tcPr>
          <w:p>
            <w:pPr>
              <w:pStyle w:val="16"/>
            </w:pPr>
            <w:r>
              <w:t>按合同计划时间完成规划编制的占比</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规划成果合格率</w:t>
            </w:r>
          </w:p>
        </w:tc>
        <w:tc>
          <w:tcPr>
            <w:tcW w:w="2835" w:type="dxa"/>
            <w:vAlign w:val="center"/>
          </w:tcPr>
          <w:p>
            <w:pPr>
              <w:pStyle w:val="16"/>
            </w:pPr>
            <w:r>
              <w:t>廊坊临空经济区域内防空专项规划合格率</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≤62.56万元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廊坊临空经济区防空规划安全级别</w:t>
            </w:r>
          </w:p>
        </w:tc>
        <w:tc>
          <w:tcPr>
            <w:tcW w:w="2835" w:type="dxa"/>
            <w:vAlign w:val="center"/>
          </w:tcPr>
          <w:p>
            <w:pPr>
              <w:pStyle w:val="16"/>
            </w:pPr>
            <w:r>
              <w:t>保证廊坊临空经济区防空持续有效，保障人民生产生活安全</w:t>
            </w:r>
          </w:p>
        </w:tc>
        <w:tc>
          <w:tcPr>
            <w:tcW w:w="2551" w:type="dxa"/>
            <w:vAlign w:val="center"/>
          </w:tcPr>
          <w:p>
            <w:pPr>
              <w:pStyle w:val="16"/>
            </w:pPr>
            <w:r>
              <w:t>防常规武器抗力级别5级；防核武器抗力级别5级</w:t>
            </w:r>
          </w:p>
        </w:tc>
        <w:tc>
          <w:tcPr>
            <w:tcW w:w="2268" w:type="dxa"/>
            <w:vAlign w:val="center"/>
          </w:tcPr>
          <w:p>
            <w:pPr>
              <w:pStyle w:val="16"/>
            </w:pPr>
            <w:r>
              <w:t>《人民防空地下室设计规范》</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规划有效年限</w:t>
            </w:r>
          </w:p>
        </w:tc>
        <w:tc>
          <w:tcPr>
            <w:tcW w:w="2835" w:type="dxa"/>
            <w:vAlign w:val="center"/>
          </w:tcPr>
          <w:p>
            <w:pPr>
              <w:pStyle w:val="16"/>
            </w:pPr>
            <w:r>
              <w:t>规划方案具有防控效果的年限</w:t>
            </w:r>
          </w:p>
        </w:tc>
        <w:tc>
          <w:tcPr>
            <w:tcW w:w="2551" w:type="dxa"/>
            <w:vAlign w:val="center"/>
          </w:tcPr>
          <w:p>
            <w:pPr>
              <w:pStyle w:val="16"/>
            </w:pPr>
            <w:r>
              <w:t>≥10年</w:t>
            </w:r>
          </w:p>
        </w:tc>
        <w:tc>
          <w:tcPr>
            <w:tcW w:w="2268" w:type="dxa"/>
            <w:vAlign w:val="center"/>
          </w:tcPr>
          <w:p>
            <w:pPr>
              <w:pStyle w:val="16"/>
            </w:pPr>
            <w:r>
              <w:t>《人民防空地下室设计规范》</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有关科室对相关工作满意度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11、2022年防疫物资费用绩效目标表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1.严格做好疫情防控保障工作，确保及时高效、有力有序完成临空经济区北部片区（广阳区域</w:t>
            </w:r>
            <w:r>
              <w:rPr>
                <w:rFonts w:hint="eastAsia"/>
                <w:lang w:eastAsia="zh-CN"/>
              </w:rPr>
              <w:t>）</w:t>
            </w:r>
            <w:r>
              <w:t>疫情期</w:t>
            </w:r>
            <w:r>
              <w:rPr>
                <w:rFonts w:hint="eastAsia"/>
                <w:lang w:eastAsia="zh-CN"/>
              </w:rPr>
              <w:t>间</w:t>
            </w:r>
            <w:r>
              <w:t>封闭管控工作。</w:t>
            </w:r>
          </w:p>
          <w:p>
            <w:pPr>
              <w:pStyle w:val="16"/>
            </w:pPr>
            <w:r>
              <w:t>2.严格做好疫情防控保障工作，确保及时高效、有力有序完成临空经济区北部片区（广阳区域</w:t>
            </w:r>
            <w:r>
              <w:rPr>
                <w:rFonts w:hint="eastAsia"/>
                <w:lang w:eastAsia="zh-CN"/>
              </w:rPr>
              <w:t>）</w:t>
            </w:r>
            <w:r>
              <w:t>疫情期</w:t>
            </w:r>
            <w:r>
              <w:rPr>
                <w:rFonts w:hint="eastAsia"/>
                <w:lang w:eastAsia="zh-CN"/>
              </w:rPr>
              <w:t>间</w:t>
            </w:r>
            <w:r>
              <w:t>封闭管控工作。</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集装箱板房</w:t>
            </w:r>
          </w:p>
        </w:tc>
        <w:tc>
          <w:tcPr>
            <w:tcW w:w="2835" w:type="dxa"/>
            <w:vAlign w:val="center"/>
          </w:tcPr>
          <w:p>
            <w:pPr>
              <w:pStyle w:val="16"/>
            </w:pPr>
            <w:r>
              <w:t>集装箱板房数量</w:t>
            </w:r>
          </w:p>
        </w:tc>
        <w:tc>
          <w:tcPr>
            <w:tcW w:w="2551" w:type="dxa"/>
            <w:vAlign w:val="center"/>
          </w:tcPr>
          <w:p>
            <w:pPr>
              <w:pStyle w:val="16"/>
            </w:pPr>
            <w:r>
              <w:t>5个</w:t>
            </w:r>
          </w:p>
        </w:tc>
        <w:tc>
          <w:tcPr>
            <w:tcW w:w="2268" w:type="dxa"/>
            <w:vAlign w:val="center"/>
          </w:tcPr>
          <w:p>
            <w:pPr>
              <w:pStyle w:val="16"/>
            </w:pPr>
            <w:r>
              <w:t>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道闸</w:t>
            </w:r>
          </w:p>
        </w:tc>
        <w:tc>
          <w:tcPr>
            <w:tcW w:w="2835" w:type="dxa"/>
            <w:vAlign w:val="center"/>
          </w:tcPr>
          <w:p>
            <w:pPr>
              <w:pStyle w:val="16"/>
            </w:pPr>
            <w:r>
              <w:t>道闸数量</w:t>
            </w:r>
          </w:p>
        </w:tc>
        <w:tc>
          <w:tcPr>
            <w:tcW w:w="2551" w:type="dxa"/>
            <w:vAlign w:val="center"/>
          </w:tcPr>
          <w:p>
            <w:pPr>
              <w:pStyle w:val="16"/>
            </w:pPr>
            <w:r>
              <w:t>5个</w:t>
            </w:r>
          </w:p>
        </w:tc>
        <w:tc>
          <w:tcPr>
            <w:tcW w:w="2268" w:type="dxa"/>
            <w:vAlign w:val="center"/>
          </w:tcPr>
          <w:p>
            <w:pPr>
              <w:pStyle w:val="16"/>
            </w:pPr>
            <w:r>
              <w:t>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空调</w:t>
            </w:r>
          </w:p>
        </w:tc>
        <w:tc>
          <w:tcPr>
            <w:tcW w:w="2835" w:type="dxa"/>
            <w:vAlign w:val="center"/>
          </w:tcPr>
          <w:p>
            <w:pPr>
              <w:pStyle w:val="16"/>
            </w:pPr>
            <w:r>
              <w:t>空调数量</w:t>
            </w:r>
          </w:p>
        </w:tc>
        <w:tc>
          <w:tcPr>
            <w:tcW w:w="2551" w:type="dxa"/>
            <w:vAlign w:val="center"/>
          </w:tcPr>
          <w:p>
            <w:pPr>
              <w:pStyle w:val="16"/>
            </w:pPr>
            <w:r>
              <w:t>5个</w:t>
            </w:r>
          </w:p>
        </w:tc>
        <w:tc>
          <w:tcPr>
            <w:tcW w:w="2268" w:type="dxa"/>
            <w:vAlign w:val="center"/>
          </w:tcPr>
          <w:p>
            <w:pPr>
              <w:pStyle w:val="16"/>
            </w:pPr>
            <w:r>
              <w:t>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服务及时完成数量/总服务数量*100%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控制支付三方服务的总费用</w:t>
            </w:r>
          </w:p>
        </w:tc>
        <w:tc>
          <w:tcPr>
            <w:tcW w:w="2551" w:type="dxa"/>
            <w:vAlign w:val="center"/>
          </w:tcPr>
          <w:p>
            <w:pPr>
              <w:pStyle w:val="16"/>
            </w:pPr>
            <w:r>
              <w:t>20.95万元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提高应急效率</w:t>
            </w:r>
          </w:p>
        </w:tc>
        <w:tc>
          <w:tcPr>
            <w:tcW w:w="2835" w:type="dxa"/>
            <w:vAlign w:val="center"/>
          </w:tcPr>
          <w:p>
            <w:pPr>
              <w:pStyle w:val="16"/>
            </w:pPr>
            <w:r>
              <w:t>是否有助于提高应急效率</w:t>
            </w:r>
          </w:p>
        </w:tc>
        <w:tc>
          <w:tcPr>
            <w:tcW w:w="2551" w:type="dxa"/>
            <w:vAlign w:val="center"/>
          </w:tcPr>
          <w:p>
            <w:pPr>
              <w:pStyle w:val="16"/>
            </w:pPr>
            <w:r>
              <w:t>提高</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挽回社会经济损失</w:t>
            </w:r>
          </w:p>
        </w:tc>
        <w:tc>
          <w:tcPr>
            <w:tcW w:w="2835" w:type="dxa"/>
            <w:vAlign w:val="center"/>
          </w:tcPr>
          <w:p>
            <w:pPr>
              <w:pStyle w:val="16"/>
            </w:pPr>
            <w:r>
              <w:t>避免发生疫情传播、分区域进行管控</w:t>
            </w:r>
          </w:p>
        </w:tc>
        <w:tc>
          <w:tcPr>
            <w:tcW w:w="2551" w:type="dxa"/>
            <w:vAlign w:val="center"/>
          </w:tcPr>
          <w:p>
            <w:pPr>
              <w:pStyle w:val="16"/>
            </w:pPr>
            <w:r>
              <w:t>避免</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调查中满意群众/临空群众人员总数*100%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12、2022年购买第三方服务项目绩效目标表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904"/>
        <w:gridCol w:w="12894"/>
      </w:tblGrid>
      <w:tr>
        <w:trPr>
          <w:trHeight w:val="397" w:hRule="atLeast"/>
          <w:jc w:val="center"/>
        </w:trPr>
        <w:tc>
          <w:tcPr>
            <w:tcW w:w="1904" w:type="dxa"/>
            <w:tcBorders>
              <w:bottom w:val="single" w:color="FFFFFF" w:sz="6" w:space="0"/>
            </w:tcBorders>
            <w:vAlign w:val="center"/>
          </w:tcPr>
          <w:p>
            <w:pPr>
              <w:pStyle w:val="14"/>
            </w:pPr>
            <w:r>
              <w:t>绩效目标</w:t>
            </w:r>
          </w:p>
        </w:tc>
        <w:tc>
          <w:tcPr>
            <w:tcW w:w="12894" w:type="dxa"/>
            <w:tcBorders>
              <w:bottom w:val="single" w:color="FFFFFF" w:sz="6" w:space="0"/>
            </w:tcBorders>
            <w:vAlign w:val="center"/>
          </w:tcPr>
          <w:p>
            <w:pPr>
              <w:pStyle w:val="16"/>
            </w:pPr>
            <w:r>
              <w:t>1.充分履行综合执法局在土地卫片执法领域的工作职能，为廊坊临空经济区的快速稳健发展保驾护航。</w:t>
            </w:r>
          </w:p>
          <w:p>
            <w:pPr>
              <w:pStyle w:val="16"/>
            </w:pPr>
            <w:r>
              <w:t>2.通过购买第三方服务，解决相关专业技术问题。为土地卫片执法提供有效支撑。圆满完成上述执法工作任务。</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0"/>
        <w:gridCol w:w="1902"/>
        <w:gridCol w:w="2505"/>
        <w:gridCol w:w="3547"/>
        <w:gridCol w:w="2466"/>
        <w:gridCol w:w="2466"/>
      </w:tblGrid>
      <w:tr>
        <w:trPr>
          <w:trHeight w:val="397" w:hRule="atLeast"/>
          <w:tblHeader/>
          <w:jc w:val="center"/>
        </w:trPr>
        <w:tc>
          <w:tcPr>
            <w:tcW w:w="1910" w:type="dxa"/>
            <w:vAlign w:val="center"/>
          </w:tcPr>
          <w:p>
            <w:pPr>
              <w:pStyle w:val="14"/>
            </w:pPr>
            <w:r>
              <w:t>一级指标</w:t>
            </w:r>
          </w:p>
        </w:tc>
        <w:tc>
          <w:tcPr>
            <w:tcW w:w="1902" w:type="dxa"/>
            <w:vAlign w:val="center"/>
          </w:tcPr>
          <w:p>
            <w:pPr>
              <w:pStyle w:val="14"/>
            </w:pPr>
            <w:r>
              <w:t>二级指标</w:t>
            </w:r>
          </w:p>
        </w:tc>
        <w:tc>
          <w:tcPr>
            <w:tcW w:w="2505" w:type="dxa"/>
            <w:vAlign w:val="center"/>
          </w:tcPr>
          <w:p>
            <w:pPr>
              <w:pStyle w:val="14"/>
            </w:pPr>
            <w:r>
              <w:t>三级指标</w:t>
            </w:r>
          </w:p>
        </w:tc>
        <w:tc>
          <w:tcPr>
            <w:tcW w:w="3547"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1910" w:type="dxa"/>
            <w:vMerge w:val="restart"/>
            <w:vAlign w:val="center"/>
          </w:tcPr>
          <w:p>
            <w:pPr>
              <w:pStyle w:val="17"/>
            </w:pPr>
            <w:r>
              <w:t>产出指标</w:t>
            </w:r>
          </w:p>
        </w:tc>
        <w:tc>
          <w:tcPr>
            <w:tcW w:w="1902" w:type="dxa"/>
            <w:vAlign w:val="center"/>
          </w:tcPr>
          <w:p>
            <w:pPr>
              <w:pStyle w:val="16"/>
            </w:pPr>
            <w:r>
              <w:t>数量指标</w:t>
            </w:r>
          </w:p>
        </w:tc>
        <w:tc>
          <w:tcPr>
            <w:tcW w:w="2505" w:type="dxa"/>
            <w:vAlign w:val="center"/>
          </w:tcPr>
          <w:p>
            <w:pPr>
              <w:pStyle w:val="16"/>
            </w:pPr>
            <w:r>
              <w:t>土地执法外业拍照</w:t>
            </w:r>
          </w:p>
        </w:tc>
        <w:tc>
          <w:tcPr>
            <w:tcW w:w="3547" w:type="dxa"/>
            <w:vAlign w:val="center"/>
          </w:tcPr>
          <w:p>
            <w:pPr>
              <w:pStyle w:val="16"/>
            </w:pPr>
            <w:r>
              <w:t>对土地进行外业拍照</w:t>
            </w:r>
          </w:p>
        </w:tc>
        <w:tc>
          <w:tcPr>
            <w:tcW w:w="2466" w:type="dxa"/>
            <w:vAlign w:val="center"/>
          </w:tcPr>
          <w:p>
            <w:pPr>
              <w:pStyle w:val="16"/>
            </w:pPr>
            <w:r>
              <w:t>≥200个</w:t>
            </w:r>
          </w:p>
        </w:tc>
        <w:tc>
          <w:tcPr>
            <w:tcW w:w="2466" w:type="dxa"/>
            <w:vAlign w:val="center"/>
          </w:tcPr>
          <w:p>
            <w:pPr>
              <w:pStyle w:val="16"/>
            </w:pPr>
            <w:r>
              <w:t>工作实际需求</w:t>
            </w:r>
          </w:p>
        </w:tc>
      </w:tr>
      <w:tr>
        <w:trPr>
          <w:trHeight w:val="397" w:hRule="atLeast"/>
          <w:jc w:val="center"/>
        </w:trPr>
        <w:tc>
          <w:tcPr>
            <w:tcW w:w="1910" w:type="dxa"/>
            <w:vMerge w:val="continue"/>
            <w:vAlign w:val="center"/>
          </w:tcPr>
          <w:p/>
        </w:tc>
        <w:tc>
          <w:tcPr>
            <w:tcW w:w="1902" w:type="dxa"/>
            <w:vAlign w:val="center"/>
          </w:tcPr>
          <w:p>
            <w:pPr>
              <w:pStyle w:val="16"/>
            </w:pPr>
            <w:r>
              <w:t>数量指标</w:t>
            </w:r>
          </w:p>
        </w:tc>
        <w:tc>
          <w:tcPr>
            <w:tcW w:w="2505" w:type="dxa"/>
            <w:vAlign w:val="center"/>
          </w:tcPr>
          <w:p>
            <w:pPr>
              <w:pStyle w:val="16"/>
            </w:pPr>
            <w:r>
              <w:t>土地执法内业套核</w:t>
            </w:r>
          </w:p>
        </w:tc>
        <w:tc>
          <w:tcPr>
            <w:tcW w:w="3547" w:type="dxa"/>
            <w:vAlign w:val="center"/>
          </w:tcPr>
          <w:p>
            <w:pPr>
              <w:pStyle w:val="16"/>
            </w:pPr>
            <w:r>
              <w:t>建设用地图斑核查</w:t>
            </w:r>
          </w:p>
        </w:tc>
        <w:tc>
          <w:tcPr>
            <w:tcW w:w="2466" w:type="dxa"/>
            <w:vAlign w:val="center"/>
          </w:tcPr>
          <w:p>
            <w:pPr>
              <w:pStyle w:val="16"/>
            </w:pPr>
            <w:r>
              <w:t>≥18000亩</w:t>
            </w:r>
          </w:p>
        </w:tc>
        <w:tc>
          <w:tcPr>
            <w:tcW w:w="2466" w:type="dxa"/>
            <w:vAlign w:val="center"/>
          </w:tcPr>
          <w:p>
            <w:pPr>
              <w:pStyle w:val="16"/>
            </w:pPr>
            <w:r>
              <w:t>工作实际需求</w:t>
            </w:r>
          </w:p>
        </w:tc>
      </w:tr>
      <w:tr>
        <w:trPr>
          <w:trHeight w:val="397" w:hRule="atLeast"/>
          <w:jc w:val="center"/>
        </w:trPr>
        <w:tc>
          <w:tcPr>
            <w:tcW w:w="1910" w:type="dxa"/>
            <w:vMerge w:val="continue"/>
            <w:vAlign w:val="center"/>
          </w:tcPr>
          <w:p/>
        </w:tc>
        <w:tc>
          <w:tcPr>
            <w:tcW w:w="1902" w:type="dxa"/>
            <w:vAlign w:val="center"/>
          </w:tcPr>
          <w:p>
            <w:pPr>
              <w:pStyle w:val="16"/>
            </w:pPr>
            <w:r>
              <w:t>数量指标</w:t>
            </w:r>
          </w:p>
        </w:tc>
        <w:tc>
          <w:tcPr>
            <w:tcW w:w="2505" w:type="dxa"/>
            <w:vAlign w:val="center"/>
          </w:tcPr>
          <w:p>
            <w:pPr>
              <w:pStyle w:val="16"/>
            </w:pPr>
            <w:r>
              <w:t>土地执法实地测量</w:t>
            </w:r>
          </w:p>
        </w:tc>
        <w:tc>
          <w:tcPr>
            <w:tcW w:w="3547" w:type="dxa"/>
            <w:vAlign w:val="center"/>
          </w:tcPr>
          <w:p>
            <w:pPr>
              <w:pStyle w:val="16"/>
            </w:pPr>
            <w:r>
              <w:t>通过E级GPS或1：500地形数据采集与编辑进行实地测量</w:t>
            </w:r>
          </w:p>
        </w:tc>
        <w:tc>
          <w:tcPr>
            <w:tcW w:w="2466" w:type="dxa"/>
            <w:vAlign w:val="center"/>
          </w:tcPr>
          <w:p>
            <w:pPr>
              <w:pStyle w:val="16"/>
            </w:pPr>
            <w:r>
              <w:t>≥2695亩</w:t>
            </w:r>
          </w:p>
        </w:tc>
        <w:tc>
          <w:tcPr>
            <w:tcW w:w="2466" w:type="dxa"/>
            <w:vAlign w:val="center"/>
          </w:tcPr>
          <w:p>
            <w:pPr>
              <w:pStyle w:val="16"/>
            </w:pPr>
            <w:r>
              <w:t>工作实际需求</w:t>
            </w:r>
          </w:p>
        </w:tc>
      </w:tr>
      <w:tr>
        <w:trPr>
          <w:trHeight w:val="397" w:hRule="atLeast"/>
          <w:jc w:val="center"/>
        </w:trPr>
        <w:tc>
          <w:tcPr>
            <w:tcW w:w="1910" w:type="dxa"/>
            <w:vMerge w:val="continue"/>
            <w:vAlign w:val="center"/>
          </w:tcPr>
          <w:p/>
        </w:tc>
        <w:tc>
          <w:tcPr>
            <w:tcW w:w="1902" w:type="dxa"/>
            <w:vAlign w:val="center"/>
          </w:tcPr>
          <w:p>
            <w:pPr>
              <w:pStyle w:val="16"/>
            </w:pPr>
            <w:r>
              <w:t>数量指标</w:t>
            </w:r>
          </w:p>
        </w:tc>
        <w:tc>
          <w:tcPr>
            <w:tcW w:w="2505" w:type="dxa"/>
            <w:vAlign w:val="center"/>
          </w:tcPr>
          <w:p>
            <w:pPr>
              <w:pStyle w:val="16"/>
            </w:pPr>
            <w:r>
              <w:t>地上物罚没评估</w:t>
            </w:r>
          </w:p>
        </w:tc>
        <w:tc>
          <w:tcPr>
            <w:tcW w:w="3547" w:type="dxa"/>
            <w:vAlign w:val="center"/>
          </w:tcPr>
          <w:p>
            <w:pPr>
              <w:pStyle w:val="16"/>
            </w:pPr>
            <w:r>
              <w:t>地上物、地上建筑物及构筑物评估</w:t>
            </w:r>
          </w:p>
        </w:tc>
        <w:tc>
          <w:tcPr>
            <w:tcW w:w="2466" w:type="dxa"/>
            <w:vAlign w:val="center"/>
          </w:tcPr>
          <w:p>
            <w:pPr>
              <w:pStyle w:val="16"/>
            </w:pPr>
            <w:r>
              <w:t>≥9个</w:t>
            </w:r>
          </w:p>
        </w:tc>
        <w:tc>
          <w:tcPr>
            <w:tcW w:w="2466" w:type="dxa"/>
            <w:vAlign w:val="center"/>
          </w:tcPr>
          <w:p>
            <w:pPr>
              <w:pStyle w:val="16"/>
            </w:pPr>
            <w:r>
              <w:t>工作实际需求</w:t>
            </w:r>
          </w:p>
        </w:tc>
      </w:tr>
      <w:tr>
        <w:trPr>
          <w:trHeight w:val="397" w:hRule="atLeast"/>
          <w:jc w:val="center"/>
        </w:trPr>
        <w:tc>
          <w:tcPr>
            <w:tcW w:w="1910" w:type="dxa"/>
            <w:vMerge w:val="continue"/>
            <w:vAlign w:val="center"/>
          </w:tcPr>
          <w:p/>
        </w:tc>
        <w:tc>
          <w:tcPr>
            <w:tcW w:w="1902" w:type="dxa"/>
            <w:vAlign w:val="center"/>
          </w:tcPr>
          <w:p>
            <w:pPr>
              <w:pStyle w:val="16"/>
            </w:pPr>
            <w:r>
              <w:t>质量指标</w:t>
            </w:r>
          </w:p>
        </w:tc>
        <w:tc>
          <w:tcPr>
            <w:tcW w:w="2505" w:type="dxa"/>
            <w:vAlign w:val="center"/>
          </w:tcPr>
          <w:p>
            <w:pPr>
              <w:pStyle w:val="16"/>
            </w:pPr>
            <w:r>
              <w:t>活动覆盖率</w:t>
            </w:r>
          </w:p>
        </w:tc>
        <w:tc>
          <w:tcPr>
            <w:tcW w:w="3547" w:type="dxa"/>
            <w:vAlign w:val="center"/>
          </w:tcPr>
          <w:p>
            <w:pPr>
              <w:pStyle w:val="16"/>
            </w:pPr>
            <w:r>
              <w:t>各项活动覆盖率（%）</w:t>
            </w:r>
          </w:p>
        </w:tc>
        <w:tc>
          <w:tcPr>
            <w:tcW w:w="2466" w:type="dxa"/>
            <w:vAlign w:val="center"/>
          </w:tcPr>
          <w:p>
            <w:pPr>
              <w:pStyle w:val="16"/>
            </w:pPr>
            <w:r>
              <w:t>≥95%</w:t>
            </w:r>
          </w:p>
        </w:tc>
        <w:tc>
          <w:tcPr>
            <w:tcW w:w="2466" w:type="dxa"/>
            <w:vAlign w:val="center"/>
          </w:tcPr>
          <w:p>
            <w:pPr>
              <w:pStyle w:val="16"/>
            </w:pPr>
            <w:r>
              <w:t>实际情况</w:t>
            </w:r>
          </w:p>
        </w:tc>
      </w:tr>
      <w:tr>
        <w:trPr>
          <w:trHeight w:val="397" w:hRule="atLeast"/>
          <w:jc w:val="center"/>
        </w:trPr>
        <w:tc>
          <w:tcPr>
            <w:tcW w:w="1910" w:type="dxa"/>
            <w:vMerge w:val="continue"/>
            <w:vAlign w:val="center"/>
          </w:tcPr>
          <w:p/>
        </w:tc>
        <w:tc>
          <w:tcPr>
            <w:tcW w:w="1902" w:type="dxa"/>
            <w:vAlign w:val="center"/>
          </w:tcPr>
          <w:p>
            <w:pPr>
              <w:pStyle w:val="16"/>
            </w:pPr>
            <w:r>
              <w:t>时效指标</w:t>
            </w:r>
          </w:p>
        </w:tc>
        <w:tc>
          <w:tcPr>
            <w:tcW w:w="2505" w:type="dxa"/>
            <w:vAlign w:val="center"/>
          </w:tcPr>
          <w:p>
            <w:pPr>
              <w:pStyle w:val="16"/>
            </w:pPr>
            <w:r>
              <w:t>完成及时率</w:t>
            </w:r>
          </w:p>
        </w:tc>
        <w:tc>
          <w:tcPr>
            <w:tcW w:w="3547" w:type="dxa"/>
            <w:vAlign w:val="center"/>
          </w:tcPr>
          <w:p>
            <w:pPr>
              <w:pStyle w:val="16"/>
            </w:pPr>
            <w:r>
              <w:t>三方服务及时完成数量占总服务数量的比率</w:t>
            </w:r>
          </w:p>
        </w:tc>
        <w:tc>
          <w:tcPr>
            <w:tcW w:w="2466" w:type="dxa"/>
            <w:vAlign w:val="center"/>
          </w:tcPr>
          <w:p>
            <w:pPr>
              <w:pStyle w:val="16"/>
            </w:pPr>
            <w:r>
              <w:t>≥98%</w:t>
            </w:r>
          </w:p>
        </w:tc>
        <w:tc>
          <w:tcPr>
            <w:tcW w:w="2466" w:type="dxa"/>
            <w:vAlign w:val="center"/>
          </w:tcPr>
          <w:p>
            <w:pPr>
              <w:pStyle w:val="16"/>
            </w:pPr>
            <w:r>
              <w:t>实际情况</w:t>
            </w:r>
          </w:p>
        </w:tc>
      </w:tr>
      <w:tr>
        <w:trPr>
          <w:trHeight w:val="397" w:hRule="atLeast"/>
          <w:jc w:val="center"/>
        </w:trPr>
        <w:tc>
          <w:tcPr>
            <w:tcW w:w="1910" w:type="dxa"/>
            <w:vMerge w:val="continue"/>
            <w:vAlign w:val="center"/>
          </w:tcPr>
          <w:p/>
        </w:tc>
        <w:tc>
          <w:tcPr>
            <w:tcW w:w="1902" w:type="dxa"/>
            <w:vAlign w:val="center"/>
          </w:tcPr>
          <w:p>
            <w:pPr>
              <w:pStyle w:val="16"/>
            </w:pPr>
            <w:r>
              <w:t>时效指标</w:t>
            </w:r>
          </w:p>
        </w:tc>
        <w:tc>
          <w:tcPr>
            <w:tcW w:w="2505" w:type="dxa"/>
            <w:vAlign w:val="center"/>
          </w:tcPr>
          <w:p>
            <w:pPr>
              <w:pStyle w:val="16"/>
            </w:pPr>
            <w:r>
              <w:t>款项支付时间</w:t>
            </w:r>
          </w:p>
        </w:tc>
        <w:tc>
          <w:tcPr>
            <w:tcW w:w="3547" w:type="dxa"/>
            <w:vAlign w:val="center"/>
          </w:tcPr>
          <w:p>
            <w:pPr>
              <w:pStyle w:val="16"/>
            </w:pPr>
            <w:r>
              <w:t>款项是否及时拨付</w:t>
            </w:r>
          </w:p>
        </w:tc>
        <w:tc>
          <w:tcPr>
            <w:tcW w:w="2466" w:type="dxa"/>
            <w:vAlign w:val="center"/>
          </w:tcPr>
          <w:p>
            <w:pPr>
              <w:pStyle w:val="16"/>
            </w:pPr>
            <w:r>
              <w:t>及时</w:t>
            </w:r>
          </w:p>
        </w:tc>
        <w:tc>
          <w:tcPr>
            <w:tcW w:w="2466" w:type="dxa"/>
            <w:vAlign w:val="center"/>
          </w:tcPr>
          <w:p>
            <w:pPr>
              <w:pStyle w:val="16"/>
            </w:pPr>
            <w:r>
              <w:t>合同约定</w:t>
            </w:r>
          </w:p>
        </w:tc>
      </w:tr>
      <w:tr>
        <w:trPr>
          <w:trHeight w:val="397" w:hRule="atLeast"/>
          <w:jc w:val="center"/>
        </w:trPr>
        <w:tc>
          <w:tcPr>
            <w:tcW w:w="1910" w:type="dxa"/>
            <w:vMerge w:val="continue"/>
            <w:vAlign w:val="center"/>
          </w:tcPr>
          <w:p/>
        </w:tc>
        <w:tc>
          <w:tcPr>
            <w:tcW w:w="1902" w:type="dxa"/>
            <w:vAlign w:val="center"/>
          </w:tcPr>
          <w:p>
            <w:pPr>
              <w:pStyle w:val="16"/>
            </w:pPr>
            <w:r>
              <w:t>成本指标</w:t>
            </w:r>
          </w:p>
        </w:tc>
        <w:tc>
          <w:tcPr>
            <w:tcW w:w="2505" w:type="dxa"/>
            <w:vAlign w:val="center"/>
          </w:tcPr>
          <w:p>
            <w:pPr>
              <w:pStyle w:val="16"/>
            </w:pPr>
            <w:r>
              <w:t>项目总成本</w:t>
            </w:r>
          </w:p>
        </w:tc>
        <w:tc>
          <w:tcPr>
            <w:tcW w:w="3547" w:type="dxa"/>
            <w:vAlign w:val="center"/>
          </w:tcPr>
          <w:p>
            <w:pPr>
              <w:pStyle w:val="16"/>
            </w:pPr>
            <w:r>
              <w:t>控制支付三方服务的总费用</w:t>
            </w:r>
          </w:p>
        </w:tc>
        <w:tc>
          <w:tcPr>
            <w:tcW w:w="2466" w:type="dxa"/>
            <w:vAlign w:val="center"/>
          </w:tcPr>
          <w:p>
            <w:pPr>
              <w:pStyle w:val="16"/>
            </w:pPr>
            <w:r>
              <w:t>≤174.52万元</w:t>
            </w:r>
          </w:p>
        </w:tc>
        <w:tc>
          <w:tcPr>
            <w:tcW w:w="2466" w:type="dxa"/>
            <w:vAlign w:val="center"/>
          </w:tcPr>
          <w:p>
            <w:pPr>
              <w:pStyle w:val="16"/>
            </w:pPr>
            <w:r>
              <w:t>合同</w:t>
            </w:r>
          </w:p>
        </w:tc>
      </w:tr>
      <w:tr>
        <w:trPr>
          <w:trHeight w:val="397" w:hRule="atLeast"/>
          <w:jc w:val="center"/>
        </w:trPr>
        <w:tc>
          <w:tcPr>
            <w:tcW w:w="1910" w:type="dxa"/>
            <w:vMerge w:val="restart"/>
            <w:vAlign w:val="center"/>
          </w:tcPr>
          <w:p>
            <w:pPr>
              <w:pStyle w:val="17"/>
            </w:pPr>
            <w:r>
              <w:t>效益指标</w:t>
            </w:r>
          </w:p>
        </w:tc>
        <w:tc>
          <w:tcPr>
            <w:tcW w:w="1902" w:type="dxa"/>
            <w:vAlign w:val="center"/>
          </w:tcPr>
          <w:p>
            <w:pPr>
              <w:pStyle w:val="16"/>
            </w:pPr>
            <w:r>
              <w:t>社会效益指标</w:t>
            </w:r>
          </w:p>
        </w:tc>
        <w:tc>
          <w:tcPr>
            <w:tcW w:w="2505" w:type="dxa"/>
            <w:vAlign w:val="center"/>
          </w:tcPr>
          <w:p>
            <w:pPr>
              <w:pStyle w:val="16"/>
            </w:pPr>
            <w:r>
              <w:t>提高综合执法公信力</w:t>
            </w:r>
          </w:p>
        </w:tc>
        <w:tc>
          <w:tcPr>
            <w:tcW w:w="3547" w:type="dxa"/>
            <w:vAlign w:val="center"/>
          </w:tcPr>
          <w:p>
            <w:pPr>
              <w:pStyle w:val="16"/>
            </w:pPr>
            <w:r>
              <w:t>是否有助于提高执法公信力</w:t>
            </w:r>
          </w:p>
        </w:tc>
        <w:tc>
          <w:tcPr>
            <w:tcW w:w="2466" w:type="dxa"/>
            <w:vAlign w:val="center"/>
          </w:tcPr>
          <w:p>
            <w:pPr>
              <w:pStyle w:val="16"/>
            </w:pPr>
            <w:r>
              <w:t>显著提高</w:t>
            </w:r>
          </w:p>
        </w:tc>
        <w:tc>
          <w:tcPr>
            <w:tcW w:w="2466" w:type="dxa"/>
            <w:vAlign w:val="center"/>
          </w:tcPr>
          <w:p>
            <w:pPr>
              <w:pStyle w:val="16"/>
            </w:pPr>
            <w:r>
              <w:t>部门职责</w:t>
            </w:r>
          </w:p>
        </w:tc>
      </w:tr>
      <w:tr>
        <w:trPr>
          <w:trHeight w:val="397" w:hRule="atLeast"/>
          <w:jc w:val="center"/>
        </w:trPr>
        <w:tc>
          <w:tcPr>
            <w:tcW w:w="1910" w:type="dxa"/>
            <w:vMerge w:val="continue"/>
            <w:vAlign w:val="center"/>
          </w:tcPr>
          <w:p/>
        </w:tc>
        <w:tc>
          <w:tcPr>
            <w:tcW w:w="1902" w:type="dxa"/>
            <w:vAlign w:val="center"/>
          </w:tcPr>
          <w:p>
            <w:pPr>
              <w:pStyle w:val="16"/>
            </w:pPr>
            <w:r>
              <w:t>经济效益指标</w:t>
            </w:r>
          </w:p>
        </w:tc>
        <w:tc>
          <w:tcPr>
            <w:tcW w:w="2505" w:type="dxa"/>
            <w:vAlign w:val="center"/>
          </w:tcPr>
          <w:p>
            <w:pPr>
              <w:pStyle w:val="16"/>
            </w:pPr>
            <w:r>
              <w:t>挽回社会经济损失</w:t>
            </w:r>
          </w:p>
        </w:tc>
        <w:tc>
          <w:tcPr>
            <w:tcW w:w="3547" w:type="dxa"/>
            <w:vAlign w:val="center"/>
          </w:tcPr>
          <w:p>
            <w:pPr>
              <w:pStyle w:val="16"/>
            </w:pPr>
            <w:r>
              <w:t>避免发生国土资源损失、安全生产、食品安全等事件造成经济损失</w:t>
            </w:r>
          </w:p>
        </w:tc>
        <w:tc>
          <w:tcPr>
            <w:tcW w:w="2466" w:type="dxa"/>
            <w:vAlign w:val="center"/>
          </w:tcPr>
          <w:p>
            <w:pPr>
              <w:pStyle w:val="16"/>
            </w:pPr>
            <w:r>
              <w:t>有效避免</w:t>
            </w:r>
          </w:p>
        </w:tc>
        <w:tc>
          <w:tcPr>
            <w:tcW w:w="2466" w:type="dxa"/>
            <w:vAlign w:val="center"/>
          </w:tcPr>
          <w:p>
            <w:pPr>
              <w:pStyle w:val="16"/>
            </w:pPr>
            <w:r>
              <w:t>部门职责</w:t>
            </w:r>
          </w:p>
        </w:tc>
      </w:tr>
      <w:tr>
        <w:trPr>
          <w:trHeight w:val="397" w:hRule="atLeast"/>
          <w:jc w:val="center"/>
        </w:trPr>
        <w:tc>
          <w:tcPr>
            <w:tcW w:w="1910" w:type="dxa"/>
            <w:vMerge w:val="continue"/>
            <w:vAlign w:val="center"/>
          </w:tcPr>
          <w:p/>
        </w:tc>
        <w:tc>
          <w:tcPr>
            <w:tcW w:w="1902" w:type="dxa"/>
            <w:vAlign w:val="center"/>
          </w:tcPr>
          <w:p>
            <w:pPr>
              <w:pStyle w:val="16"/>
            </w:pPr>
            <w:r>
              <w:t>社会效益指标</w:t>
            </w:r>
          </w:p>
        </w:tc>
        <w:tc>
          <w:tcPr>
            <w:tcW w:w="2505" w:type="dxa"/>
            <w:vAlign w:val="center"/>
          </w:tcPr>
          <w:p>
            <w:pPr>
              <w:pStyle w:val="16"/>
            </w:pPr>
            <w:r>
              <w:t>保持安全生产形势持续稳定</w:t>
            </w:r>
          </w:p>
        </w:tc>
        <w:tc>
          <w:tcPr>
            <w:tcW w:w="3547" w:type="dxa"/>
            <w:vAlign w:val="center"/>
          </w:tcPr>
          <w:p>
            <w:pPr>
              <w:pStyle w:val="16"/>
            </w:pPr>
            <w:r>
              <w:t>避免发生重大安全生产事故</w:t>
            </w:r>
          </w:p>
        </w:tc>
        <w:tc>
          <w:tcPr>
            <w:tcW w:w="2466" w:type="dxa"/>
            <w:vAlign w:val="center"/>
          </w:tcPr>
          <w:p>
            <w:pPr>
              <w:pStyle w:val="16"/>
            </w:pPr>
            <w:r>
              <w:t>有效避免</w:t>
            </w:r>
          </w:p>
        </w:tc>
        <w:tc>
          <w:tcPr>
            <w:tcW w:w="2466" w:type="dxa"/>
            <w:vAlign w:val="center"/>
          </w:tcPr>
          <w:p>
            <w:pPr>
              <w:pStyle w:val="16"/>
            </w:pPr>
            <w:r>
              <w:t>部门职责</w:t>
            </w:r>
          </w:p>
        </w:tc>
      </w:tr>
      <w:tr>
        <w:trPr>
          <w:trHeight w:val="397" w:hRule="atLeast"/>
          <w:jc w:val="center"/>
        </w:trPr>
        <w:tc>
          <w:tcPr>
            <w:tcW w:w="1910" w:type="dxa"/>
            <w:vMerge w:val="continue"/>
            <w:vAlign w:val="center"/>
          </w:tcPr>
          <w:p/>
        </w:tc>
        <w:tc>
          <w:tcPr>
            <w:tcW w:w="1902" w:type="dxa"/>
            <w:vAlign w:val="center"/>
          </w:tcPr>
          <w:p>
            <w:pPr>
              <w:pStyle w:val="16"/>
            </w:pPr>
            <w:r>
              <w:t>生态效益指标</w:t>
            </w:r>
          </w:p>
        </w:tc>
        <w:tc>
          <w:tcPr>
            <w:tcW w:w="2505" w:type="dxa"/>
            <w:vAlign w:val="center"/>
          </w:tcPr>
          <w:p>
            <w:pPr>
              <w:pStyle w:val="16"/>
            </w:pPr>
            <w:r>
              <w:t>土地用途合规率</w:t>
            </w:r>
          </w:p>
        </w:tc>
        <w:tc>
          <w:tcPr>
            <w:tcW w:w="3547" w:type="dxa"/>
            <w:vAlign w:val="center"/>
          </w:tcPr>
          <w:p>
            <w:pPr>
              <w:pStyle w:val="16"/>
            </w:pPr>
            <w:r>
              <w:t>用途合规土地占全部用地的比率</w:t>
            </w:r>
          </w:p>
        </w:tc>
        <w:tc>
          <w:tcPr>
            <w:tcW w:w="2466" w:type="dxa"/>
            <w:vAlign w:val="center"/>
          </w:tcPr>
          <w:p>
            <w:pPr>
              <w:pStyle w:val="16"/>
            </w:pPr>
            <w:r>
              <w:t>≥90%</w:t>
            </w:r>
          </w:p>
        </w:tc>
        <w:tc>
          <w:tcPr>
            <w:tcW w:w="2466" w:type="dxa"/>
            <w:vAlign w:val="center"/>
          </w:tcPr>
          <w:p>
            <w:pPr>
              <w:pStyle w:val="16"/>
            </w:pPr>
            <w:r>
              <w:t>部门职责</w:t>
            </w:r>
          </w:p>
        </w:tc>
      </w:tr>
      <w:tr>
        <w:trPr>
          <w:trHeight w:val="397" w:hRule="atLeast"/>
          <w:jc w:val="center"/>
        </w:trPr>
        <w:tc>
          <w:tcPr>
            <w:tcW w:w="1910" w:type="dxa"/>
            <w:vAlign w:val="center"/>
          </w:tcPr>
          <w:p>
            <w:pPr>
              <w:pStyle w:val="17"/>
            </w:pPr>
            <w:r>
              <w:t>满意度指标</w:t>
            </w:r>
          </w:p>
        </w:tc>
        <w:tc>
          <w:tcPr>
            <w:tcW w:w="1902" w:type="dxa"/>
            <w:vAlign w:val="center"/>
          </w:tcPr>
          <w:p>
            <w:pPr>
              <w:pStyle w:val="16"/>
            </w:pPr>
            <w:r>
              <w:t>服务对象满意度指标</w:t>
            </w:r>
          </w:p>
        </w:tc>
        <w:tc>
          <w:tcPr>
            <w:tcW w:w="2505" w:type="dxa"/>
            <w:vAlign w:val="center"/>
          </w:tcPr>
          <w:p>
            <w:pPr>
              <w:pStyle w:val="16"/>
            </w:pPr>
            <w:r>
              <w:t>群众满意度</w:t>
            </w:r>
          </w:p>
        </w:tc>
        <w:tc>
          <w:tcPr>
            <w:tcW w:w="3547" w:type="dxa"/>
            <w:vAlign w:val="center"/>
          </w:tcPr>
          <w:p>
            <w:pPr>
              <w:pStyle w:val="16"/>
            </w:pPr>
            <w:r>
              <w:t>调查中满意和较满意群众数量占调查总人数的比率</w:t>
            </w:r>
          </w:p>
        </w:tc>
        <w:tc>
          <w:tcPr>
            <w:tcW w:w="2466" w:type="dxa"/>
            <w:vAlign w:val="center"/>
          </w:tcPr>
          <w:p>
            <w:pPr>
              <w:pStyle w:val="16"/>
            </w:pPr>
            <w:r>
              <w:t>≥90%</w:t>
            </w:r>
          </w:p>
        </w:tc>
        <w:tc>
          <w:tcPr>
            <w:tcW w:w="2466"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13、2022年规划管控导则体系绩效目标表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临空经济区高质量建设，开展廊坊临空经济区规划管控导则体系编制费工作，加强总体管控区的协同发展，实现在土地利用、公共空间、景观环境、交通组织、建筑风貌、各类设施及可持续发展等各项要素的合理有序管控，形成一套从宏观到微观一体化管理的规划管控导则体系，提升规划建设管理的精细化水平。</w:t>
            </w:r>
          </w:p>
          <w:p>
            <w:pPr>
              <w:pStyle w:val="16"/>
            </w:pPr>
            <w:r>
              <w:t>2.完成规划控制导则体系编制，形成启动区内所有地块的规划条件及配套参数要求。</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规划编制方案成果数量</w:t>
            </w:r>
          </w:p>
        </w:tc>
        <w:tc>
          <w:tcPr>
            <w:tcW w:w="2835" w:type="dxa"/>
            <w:vAlign w:val="center"/>
          </w:tcPr>
          <w:p>
            <w:pPr>
              <w:pStyle w:val="16"/>
            </w:pPr>
            <w:r>
              <w:t>编制完成后提供最终成果册</w:t>
            </w:r>
          </w:p>
        </w:tc>
        <w:tc>
          <w:tcPr>
            <w:tcW w:w="2551" w:type="dxa"/>
            <w:vAlign w:val="center"/>
          </w:tcPr>
          <w:p>
            <w:pPr>
              <w:pStyle w:val="16"/>
            </w:pPr>
            <w:r>
              <w:t>8套</w:t>
            </w:r>
          </w:p>
        </w:tc>
        <w:tc>
          <w:tcPr>
            <w:tcW w:w="2268" w:type="dxa"/>
            <w:vAlign w:val="center"/>
          </w:tcPr>
          <w:p>
            <w:pPr>
              <w:pStyle w:val="16"/>
            </w:pPr>
            <w:r>
              <w:t>临空区管委会规划建设局验收记录</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专家评审通过率</w:t>
            </w:r>
          </w:p>
        </w:tc>
        <w:tc>
          <w:tcPr>
            <w:tcW w:w="2835" w:type="dxa"/>
            <w:vAlign w:val="center"/>
          </w:tcPr>
          <w:p>
            <w:pPr>
              <w:pStyle w:val="16"/>
            </w:pPr>
            <w:r>
              <w:t>临空经济区管委会规划建设局组织专家对编制方案进行评审</w:t>
            </w:r>
          </w:p>
        </w:tc>
        <w:tc>
          <w:tcPr>
            <w:tcW w:w="2551" w:type="dxa"/>
            <w:vAlign w:val="center"/>
          </w:tcPr>
          <w:p>
            <w:pPr>
              <w:pStyle w:val="16"/>
            </w:pPr>
            <w:r>
              <w:t>100%</w:t>
            </w:r>
          </w:p>
        </w:tc>
        <w:tc>
          <w:tcPr>
            <w:tcW w:w="2268" w:type="dxa"/>
            <w:vAlign w:val="center"/>
          </w:tcPr>
          <w:p>
            <w:pPr>
              <w:pStyle w:val="16"/>
            </w:pPr>
            <w:r>
              <w:t>专家评审会议纪要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是否按照预算计划及时完成</w:t>
            </w:r>
          </w:p>
        </w:tc>
        <w:tc>
          <w:tcPr>
            <w:tcW w:w="2551" w:type="dxa"/>
            <w:vAlign w:val="center"/>
          </w:tcPr>
          <w:p>
            <w:pPr>
              <w:pStyle w:val="16"/>
            </w:pPr>
            <w:r>
              <w:t>100%</w:t>
            </w:r>
          </w:p>
        </w:tc>
        <w:tc>
          <w:tcPr>
            <w:tcW w:w="2268" w:type="dxa"/>
            <w:vAlign w:val="center"/>
          </w:tcPr>
          <w:p>
            <w:pPr>
              <w:pStyle w:val="16"/>
            </w:pPr>
            <w:r>
              <w:t>财政支出流水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编制规划需要费用</w:t>
            </w:r>
          </w:p>
        </w:tc>
        <w:tc>
          <w:tcPr>
            <w:tcW w:w="2551" w:type="dxa"/>
            <w:vAlign w:val="center"/>
          </w:tcPr>
          <w:p>
            <w:pPr>
              <w:pStyle w:val="16"/>
            </w:pPr>
            <w:r>
              <w:t>≤799.68万元</w:t>
            </w:r>
          </w:p>
        </w:tc>
        <w:tc>
          <w:tcPr>
            <w:tcW w:w="2268" w:type="dxa"/>
            <w:vAlign w:val="center"/>
          </w:tcPr>
          <w:p>
            <w:pPr>
              <w:pStyle w:val="16"/>
            </w:pPr>
            <w:r>
              <w:t>根据合同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设施布局</w:t>
            </w:r>
          </w:p>
        </w:tc>
        <w:tc>
          <w:tcPr>
            <w:tcW w:w="2835" w:type="dxa"/>
            <w:vAlign w:val="center"/>
          </w:tcPr>
          <w:p>
            <w:pPr>
              <w:pStyle w:val="16"/>
            </w:pPr>
            <w:r>
              <w:t>保障规划的设施布局科学合理</w:t>
            </w:r>
          </w:p>
        </w:tc>
        <w:tc>
          <w:tcPr>
            <w:tcW w:w="2551" w:type="dxa"/>
            <w:vAlign w:val="center"/>
          </w:tcPr>
          <w:p>
            <w:pPr>
              <w:pStyle w:val="16"/>
            </w:pPr>
            <w:r>
              <w:t>合理</w:t>
            </w:r>
          </w:p>
        </w:tc>
        <w:tc>
          <w:tcPr>
            <w:tcW w:w="2268" w:type="dxa"/>
            <w:vAlign w:val="center"/>
          </w:tcPr>
          <w:p>
            <w:pPr>
              <w:pStyle w:val="16"/>
            </w:pPr>
            <w:r>
              <w:t>专家评审会议纪要</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合理安排建设时序</w:t>
            </w:r>
          </w:p>
        </w:tc>
        <w:tc>
          <w:tcPr>
            <w:tcW w:w="2835" w:type="dxa"/>
            <w:vAlign w:val="center"/>
          </w:tcPr>
          <w:p>
            <w:pPr>
              <w:pStyle w:val="16"/>
            </w:pPr>
            <w:r>
              <w:t>合理安排业发展、生态管控、交通管控、综合防灾等方面的规划建设时序</w:t>
            </w:r>
          </w:p>
        </w:tc>
        <w:tc>
          <w:tcPr>
            <w:tcW w:w="2551" w:type="dxa"/>
            <w:vAlign w:val="center"/>
          </w:tcPr>
          <w:p>
            <w:pPr>
              <w:pStyle w:val="16"/>
            </w:pPr>
            <w:r>
              <w:t>合理</w:t>
            </w:r>
          </w:p>
        </w:tc>
        <w:tc>
          <w:tcPr>
            <w:tcW w:w="2268" w:type="dxa"/>
            <w:vAlign w:val="center"/>
          </w:tcPr>
          <w:p>
            <w:pPr>
              <w:pStyle w:val="16"/>
            </w:pPr>
            <w:r>
              <w:t>专家评审会议纪要</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坚持生态优先</w:t>
            </w:r>
          </w:p>
        </w:tc>
        <w:tc>
          <w:tcPr>
            <w:tcW w:w="2835" w:type="dxa"/>
            <w:vAlign w:val="center"/>
          </w:tcPr>
          <w:p>
            <w:pPr>
              <w:pStyle w:val="16"/>
            </w:pPr>
            <w:r>
              <w:t>优化生态安全格局</w:t>
            </w:r>
          </w:p>
        </w:tc>
        <w:tc>
          <w:tcPr>
            <w:tcW w:w="2551" w:type="dxa"/>
            <w:vAlign w:val="center"/>
          </w:tcPr>
          <w:p>
            <w:pPr>
              <w:pStyle w:val="16"/>
            </w:pPr>
            <w:r>
              <w:t>合理</w:t>
            </w:r>
          </w:p>
        </w:tc>
        <w:tc>
          <w:tcPr>
            <w:tcW w:w="2268" w:type="dxa"/>
            <w:vAlign w:val="center"/>
          </w:tcPr>
          <w:p>
            <w:pPr>
              <w:pStyle w:val="16"/>
            </w:pPr>
            <w:r>
              <w:t>专家评审会议纪要</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指导建设实施</w:t>
            </w:r>
          </w:p>
        </w:tc>
        <w:tc>
          <w:tcPr>
            <w:tcW w:w="2835" w:type="dxa"/>
            <w:vAlign w:val="center"/>
          </w:tcPr>
          <w:p>
            <w:pPr>
              <w:pStyle w:val="16"/>
            </w:pPr>
            <w:r>
              <w:t>为城市规划建设提供依据</w:t>
            </w:r>
          </w:p>
        </w:tc>
        <w:tc>
          <w:tcPr>
            <w:tcW w:w="2551" w:type="dxa"/>
            <w:vAlign w:val="center"/>
          </w:tcPr>
          <w:p>
            <w:pPr>
              <w:pStyle w:val="16"/>
            </w:pPr>
            <w:r>
              <w:t>健全</w:t>
            </w:r>
          </w:p>
        </w:tc>
        <w:tc>
          <w:tcPr>
            <w:tcW w:w="2268" w:type="dxa"/>
            <w:vAlign w:val="center"/>
          </w:tcPr>
          <w:p>
            <w:pPr>
              <w:pStyle w:val="16"/>
            </w:pPr>
            <w:r>
              <w:t>相关文件</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相关科室对本次项目满意度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14、2022年规划建设技术咨询服务绩效目标表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1.进一步提升廊坊临空经济区规划、建设和管理能力，保障城市运营和项目建设，塑造城市特点、提升城市品质、实现高质量发展目标</w:t>
            </w:r>
          </w:p>
          <w:p>
            <w:pPr>
              <w:pStyle w:val="16"/>
            </w:pPr>
            <w:r>
              <w:t>2.为进一步加强廊坊临空经济区规划、建设和管理能力，保障城市运营和项目建设，拟委托第三方单位派驻相关专业的技术人员，对城市规划建设管理等方面进行技术服务支撑，保证临空经济区规划蓝图高质量实施。在严格控制成本的前提下，按时按质按量完成规划建设技术咨询服务，最终实现保障临空经济区规划编制的前瞻性和规划管理的科学性的目标，做到临空区各科室对规划建设技术咨询服务过程满意度90%及以上。</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完成技术服务量</w:t>
            </w:r>
          </w:p>
        </w:tc>
        <w:tc>
          <w:tcPr>
            <w:tcW w:w="2835" w:type="dxa"/>
            <w:vAlign w:val="center"/>
          </w:tcPr>
          <w:p>
            <w:pPr>
              <w:pStyle w:val="16"/>
            </w:pPr>
            <w:r>
              <w:t>完成技术服务量</w:t>
            </w:r>
          </w:p>
        </w:tc>
        <w:tc>
          <w:tcPr>
            <w:tcW w:w="2551" w:type="dxa"/>
            <w:vAlign w:val="center"/>
          </w:tcPr>
          <w:p>
            <w:pPr>
              <w:pStyle w:val="16"/>
            </w:pPr>
            <w:r>
              <w:t>100%</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技术服务人员工作经验</w:t>
            </w:r>
          </w:p>
        </w:tc>
        <w:tc>
          <w:tcPr>
            <w:tcW w:w="2835" w:type="dxa"/>
            <w:vAlign w:val="center"/>
          </w:tcPr>
          <w:p>
            <w:pPr>
              <w:pStyle w:val="16"/>
            </w:pPr>
            <w:r>
              <w:t>技术服务人员工作经验年限</w:t>
            </w:r>
          </w:p>
        </w:tc>
        <w:tc>
          <w:tcPr>
            <w:tcW w:w="2551" w:type="dxa"/>
            <w:vAlign w:val="center"/>
          </w:tcPr>
          <w:p>
            <w:pPr>
              <w:pStyle w:val="16"/>
            </w:pPr>
            <w:r>
              <w:t>≥3年</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规划建设技术咨询服务办结率</w:t>
            </w:r>
          </w:p>
        </w:tc>
        <w:tc>
          <w:tcPr>
            <w:tcW w:w="2835" w:type="dxa"/>
            <w:vAlign w:val="center"/>
          </w:tcPr>
          <w:p>
            <w:pPr>
              <w:pStyle w:val="16"/>
            </w:pPr>
            <w:r>
              <w:t>[办结数量/申请数量]×100%</w:t>
            </w:r>
          </w:p>
        </w:tc>
        <w:tc>
          <w:tcPr>
            <w:tcW w:w="2551" w:type="dxa"/>
            <w:vAlign w:val="center"/>
          </w:tcPr>
          <w:p>
            <w:pPr>
              <w:pStyle w:val="16"/>
            </w:pPr>
            <w:r>
              <w:t>100%</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服务完成及时率</w:t>
            </w:r>
          </w:p>
        </w:tc>
        <w:tc>
          <w:tcPr>
            <w:tcW w:w="2835" w:type="dxa"/>
            <w:vAlign w:val="center"/>
          </w:tcPr>
          <w:p>
            <w:pPr>
              <w:pStyle w:val="16"/>
            </w:pPr>
            <w:r>
              <w:t>[实际完成时间/规定完成时限]×100%</w:t>
            </w:r>
          </w:p>
        </w:tc>
        <w:tc>
          <w:tcPr>
            <w:tcW w:w="2551" w:type="dxa"/>
            <w:vAlign w:val="center"/>
          </w:tcPr>
          <w:p>
            <w:pPr>
              <w:pStyle w:val="16"/>
            </w:pPr>
            <w:r>
              <w:t>100%</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项目总成本</w:t>
            </w:r>
          </w:p>
        </w:tc>
        <w:tc>
          <w:tcPr>
            <w:tcW w:w="2551" w:type="dxa"/>
            <w:vAlign w:val="center"/>
          </w:tcPr>
          <w:p>
            <w:pPr>
              <w:pStyle w:val="16"/>
            </w:pPr>
            <w:r>
              <w:t>≤89.4万元</w:t>
            </w:r>
          </w:p>
        </w:tc>
        <w:tc>
          <w:tcPr>
            <w:tcW w:w="2268" w:type="dxa"/>
            <w:vAlign w:val="center"/>
          </w:tcPr>
          <w:p>
            <w:pPr>
              <w:pStyle w:val="16"/>
            </w:pPr>
            <w:r>
              <w:t>财政支出流水</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规划科学合理</w:t>
            </w:r>
          </w:p>
        </w:tc>
        <w:tc>
          <w:tcPr>
            <w:tcW w:w="2835" w:type="dxa"/>
            <w:vAlign w:val="center"/>
          </w:tcPr>
          <w:p>
            <w:pPr>
              <w:pStyle w:val="16"/>
            </w:pPr>
            <w:r>
              <w:t>保障规划编制的前瞻性和规划管理的科学性</w:t>
            </w:r>
          </w:p>
        </w:tc>
        <w:tc>
          <w:tcPr>
            <w:tcW w:w="2551" w:type="dxa"/>
            <w:vAlign w:val="center"/>
          </w:tcPr>
          <w:p>
            <w:pPr>
              <w:pStyle w:val="16"/>
            </w:pPr>
            <w:r>
              <w:t>合理</w:t>
            </w:r>
          </w:p>
        </w:tc>
        <w:tc>
          <w:tcPr>
            <w:tcW w:w="2268" w:type="dxa"/>
            <w:vAlign w:val="center"/>
          </w:tcPr>
          <w:p>
            <w:pPr>
              <w:pStyle w:val="16"/>
            </w:pPr>
            <w:r>
              <w:t>临空区管委会内部会议纪要</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规划建设技术咨询服务满意度</w:t>
            </w:r>
          </w:p>
        </w:tc>
        <w:tc>
          <w:tcPr>
            <w:tcW w:w="2835" w:type="dxa"/>
            <w:vAlign w:val="center"/>
          </w:tcPr>
          <w:p>
            <w:pPr>
              <w:pStyle w:val="16"/>
            </w:pPr>
            <w:r>
              <w:t>临空区各科室对规划建设技术咨询服务过程的满意度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15、2022年国土空间规划一张图研究绩效目标表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北京大兴国际机场临空经济区建设安排部署，指导临空经济区高质量建设，落实北京大兴国际机场临空经济区总体规划的相关要求，衔接廊坊市国土空间总体规划，进一步划定三区三线，对建设空间提出建设要求，对生态空间提出管控要求，形成符合上位规划建设要求的开发与管控“一张图”，为高质量建设临空经济区提供依据和指导。</w:t>
            </w:r>
          </w:p>
          <w:p>
            <w:pPr>
              <w:pStyle w:val="16"/>
            </w:pPr>
            <w:r>
              <w:t>2.共塑环首都地区生态安全格局廊坊地处环首都生态过渡带，营造大尺度、高品质生态空间。通过廊坊临空经济区国土空间规划一张图研究编制工作实现：①完善规划体系，并指导临空经济区建设；②衔接廊坊市国土空间总体规划，完善规划成果；③更新规划理念，坚持生态文明建设与高质量发展的新理念。最终实现建立匹配理想人居环境的高品质城市国土空间的目标。</w:t>
            </w:r>
          </w:p>
          <w:p>
            <w:pPr>
              <w:pStyle w:val="16"/>
            </w:pP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提交成果成果数量</w:t>
            </w:r>
          </w:p>
        </w:tc>
        <w:tc>
          <w:tcPr>
            <w:tcW w:w="2835" w:type="dxa"/>
            <w:vAlign w:val="center"/>
          </w:tcPr>
          <w:p>
            <w:pPr>
              <w:pStyle w:val="16"/>
            </w:pPr>
            <w:r>
              <w:t>规划编制说明书、文本册和图册</w:t>
            </w:r>
          </w:p>
        </w:tc>
        <w:tc>
          <w:tcPr>
            <w:tcW w:w="2551" w:type="dxa"/>
            <w:vAlign w:val="center"/>
          </w:tcPr>
          <w:p>
            <w:pPr>
              <w:pStyle w:val="16"/>
            </w:pPr>
            <w:r>
              <w:t>≥8套</w:t>
            </w:r>
          </w:p>
        </w:tc>
        <w:tc>
          <w:tcPr>
            <w:tcW w:w="2268" w:type="dxa"/>
            <w:vAlign w:val="center"/>
          </w:tcPr>
          <w:p>
            <w:pPr>
              <w:pStyle w:val="16"/>
            </w:pPr>
            <w:r>
              <w:t>根据合同约定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评审通过率</w:t>
            </w:r>
          </w:p>
        </w:tc>
        <w:tc>
          <w:tcPr>
            <w:tcW w:w="2835" w:type="dxa"/>
            <w:vAlign w:val="center"/>
          </w:tcPr>
          <w:p>
            <w:pPr>
              <w:pStyle w:val="16"/>
            </w:pPr>
            <w:r>
              <w:t>专家评审通过率</w:t>
            </w:r>
          </w:p>
        </w:tc>
        <w:tc>
          <w:tcPr>
            <w:tcW w:w="2551" w:type="dxa"/>
            <w:vAlign w:val="center"/>
          </w:tcPr>
          <w:p>
            <w:pPr>
              <w:pStyle w:val="16"/>
            </w:pPr>
            <w:r>
              <w:t>100%</w:t>
            </w:r>
          </w:p>
        </w:tc>
        <w:tc>
          <w:tcPr>
            <w:tcW w:w="2268" w:type="dxa"/>
            <w:vAlign w:val="center"/>
          </w:tcPr>
          <w:p>
            <w:pPr>
              <w:pStyle w:val="16"/>
            </w:pPr>
            <w:r>
              <w:t>专家评审论证意见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成果提交时间率</w:t>
            </w:r>
          </w:p>
        </w:tc>
        <w:tc>
          <w:tcPr>
            <w:tcW w:w="2835" w:type="dxa"/>
            <w:vAlign w:val="center"/>
          </w:tcPr>
          <w:p>
            <w:pPr>
              <w:pStyle w:val="16"/>
            </w:pPr>
            <w:r>
              <w:t>按约定时间及时提交成果</w:t>
            </w:r>
          </w:p>
        </w:tc>
        <w:tc>
          <w:tcPr>
            <w:tcW w:w="2551" w:type="dxa"/>
            <w:vAlign w:val="center"/>
          </w:tcPr>
          <w:p>
            <w:pPr>
              <w:pStyle w:val="16"/>
            </w:pPr>
            <w:r>
              <w:t>2023年6月底前</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项目总价</w:t>
            </w:r>
          </w:p>
        </w:tc>
        <w:tc>
          <w:tcPr>
            <w:tcW w:w="2551" w:type="dxa"/>
            <w:vAlign w:val="center"/>
          </w:tcPr>
          <w:p>
            <w:pPr>
              <w:pStyle w:val="16"/>
            </w:pPr>
            <w:r>
              <w:t>≤92.32万元</w:t>
            </w:r>
          </w:p>
        </w:tc>
        <w:tc>
          <w:tcPr>
            <w:tcW w:w="2268" w:type="dxa"/>
            <w:vAlign w:val="center"/>
          </w:tcPr>
          <w:p>
            <w:pPr>
              <w:pStyle w:val="16"/>
            </w:pPr>
            <w:r>
              <w:t>依照合同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规划落地</w:t>
            </w:r>
          </w:p>
        </w:tc>
        <w:tc>
          <w:tcPr>
            <w:tcW w:w="2835" w:type="dxa"/>
            <w:vAlign w:val="center"/>
          </w:tcPr>
          <w:p>
            <w:pPr>
              <w:pStyle w:val="16"/>
            </w:pPr>
            <w:r>
              <w:t>指导国土空间规划建设实施，促进国土空间规划项目落地实施。</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高质量发展</w:t>
            </w:r>
          </w:p>
        </w:tc>
        <w:tc>
          <w:tcPr>
            <w:tcW w:w="2835" w:type="dxa"/>
            <w:vAlign w:val="center"/>
          </w:tcPr>
          <w:p>
            <w:pPr>
              <w:pStyle w:val="16"/>
            </w:pPr>
            <w:r>
              <w:t>指导临空经济区高质量建设</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支撑作用</w:t>
            </w:r>
          </w:p>
        </w:tc>
        <w:tc>
          <w:tcPr>
            <w:tcW w:w="2835" w:type="dxa"/>
            <w:vAlign w:val="center"/>
          </w:tcPr>
          <w:p>
            <w:pPr>
              <w:pStyle w:val="16"/>
            </w:pPr>
            <w:r>
              <w:t>建立匹配理想人居环境的高品质城市</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生态空间格局优化</w:t>
            </w:r>
          </w:p>
        </w:tc>
        <w:tc>
          <w:tcPr>
            <w:tcW w:w="2835" w:type="dxa"/>
            <w:vAlign w:val="center"/>
          </w:tcPr>
          <w:p>
            <w:pPr>
              <w:pStyle w:val="16"/>
            </w:pPr>
            <w:r>
              <w:t>释放生态活力</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有关科室对相关工作满意度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16、2022年机场回迁区九年一贯制学校开办资金绩效目标表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1.加快临空经济区配套公务设施建设，解决学校正常运转、师生在校安全、教师培训等问题。提升经济区的经济发展软实力，进一步优化营商环境，能明显提高社会效率。</w:t>
            </w:r>
          </w:p>
          <w:p>
            <w:pPr>
              <w:pStyle w:val="16"/>
            </w:pPr>
            <w:r>
              <w:t>2.预留经费，解决学校正常运转、师生在校安全、教师培训等问题，通过公开招标方式，进行3所学校办公经费中采购安保、物业服务等工作。由临空经济区管委会委托有相关资质的代理公司负责组织实施，完成新建校采购安保及物业服务工作，签订相关合同。</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教室数量</w:t>
            </w:r>
          </w:p>
        </w:tc>
        <w:tc>
          <w:tcPr>
            <w:tcW w:w="2835" w:type="dxa"/>
            <w:vAlign w:val="center"/>
          </w:tcPr>
          <w:p>
            <w:pPr>
              <w:pStyle w:val="16"/>
            </w:pPr>
            <w:r>
              <w:t>配备装备教室数量</w:t>
            </w:r>
          </w:p>
        </w:tc>
        <w:tc>
          <w:tcPr>
            <w:tcW w:w="2551" w:type="dxa"/>
            <w:vAlign w:val="center"/>
          </w:tcPr>
          <w:p>
            <w:pPr>
              <w:pStyle w:val="16"/>
            </w:pPr>
            <w:r>
              <w:t>22间</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符合省市相关政策</w:t>
            </w:r>
          </w:p>
        </w:tc>
        <w:tc>
          <w:tcPr>
            <w:tcW w:w="2835" w:type="dxa"/>
            <w:vAlign w:val="center"/>
          </w:tcPr>
          <w:p>
            <w:pPr>
              <w:pStyle w:val="16"/>
            </w:pPr>
            <w:r>
              <w:t>符合基本办学标准及相关政策</w:t>
            </w:r>
          </w:p>
        </w:tc>
        <w:tc>
          <w:tcPr>
            <w:tcW w:w="2551" w:type="dxa"/>
            <w:vAlign w:val="center"/>
          </w:tcPr>
          <w:p>
            <w:pPr>
              <w:pStyle w:val="16"/>
            </w:pPr>
            <w:r>
              <w:t>符合</w:t>
            </w:r>
          </w:p>
        </w:tc>
        <w:tc>
          <w:tcPr>
            <w:tcW w:w="2268" w:type="dxa"/>
            <w:vAlign w:val="center"/>
          </w:tcPr>
          <w:p>
            <w:pPr>
              <w:pStyle w:val="16"/>
            </w:pPr>
            <w:r>
              <w:t>《河北省义务教育学校办学基本标准》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配备工作完成时间</w:t>
            </w:r>
          </w:p>
        </w:tc>
        <w:tc>
          <w:tcPr>
            <w:tcW w:w="2835" w:type="dxa"/>
            <w:vAlign w:val="center"/>
          </w:tcPr>
          <w:p>
            <w:pPr>
              <w:pStyle w:val="16"/>
            </w:pPr>
            <w:r>
              <w:t>配备工作完成时间</w:t>
            </w:r>
          </w:p>
        </w:tc>
        <w:tc>
          <w:tcPr>
            <w:tcW w:w="2551" w:type="dxa"/>
            <w:vAlign w:val="center"/>
          </w:tcPr>
          <w:p>
            <w:pPr>
              <w:pStyle w:val="16"/>
            </w:pPr>
            <w:r>
              <w:t>2022年9月完成配备工作</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教育装备资金及办公经费成本</w:t>
            </w:r>
          </w:p>
        </w:tc>
        <w:tc>
          <w:tcPr>
            <w:tcW w:w="2551" w:type="dxa"/>
            <w:vAlign w:val="center"/>
          </w:tcPr>
          <w:p>
            <w:pPr>
              <w:pStyle w:val="16"/>
            </w:pPr>
            <w:r>
              <w:t>≤2923万元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培养后备人才</w:t>
            </w:r>
          </w:p>
        </w:tc>
        <w:tc>
          <w:tcPr>
            <w:tcW w:w="2835" w:type="dxa"/>
            <w:vAlign w:val="center"/>
          </w:tcPr>
          <w:p>
            <w:pPr>
              <w:pStyle w:val="16"/>
            </w:pPr>
            <w:r>
              <w:t>为社会培养合格的后备人才奠定基础</w:t>
            </w:r>
          </w:p>
        </w:tc>
        <w:tc>
          <w:tcPr>
            <w:tcW w:w="2551" w:type="dxa"/>
            <w:vAlign w:val="center"/>
          </w:tcPr>
          <w:p>
            <w:pPr>
              <w:pStyle w:val="16"/>
            </w:pPr>
            <w:r>
              <w:t>人才储备</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解决航企职工及居民子女入学问题</w:t>
            </w:r>
          </w:p>
        </w:tc>
        <w:tc>
          <w:tcPr>
            <w:tcW w:w="2835" w:type="dxa"/>
            <w:vAlign w:val="center"/>
          </w:tcPr>
          <w:p>
            <w:pPr>
              <w:pStyle w:val="16"/>
            </w:pPr>
            <w:r>
              <w:t>解决服务范围内适龄儿童入学问题</w:t>
            </w:r>
          </w:p>
        </w:tc>
        <w:tc>
          <w:tcPr>
            <w:tcW w:w="2551" w:type="dxa"/>
            <w:vAlign w:val="center"/>
          </w:tcPr>
          <w:p>
            <w:pPr>
              <w:pStyle w:val="16"/>
            </w:pPr>
            <w:r>
              <w:t>解决</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校内相关人员对校内办公环境满意度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17、2022年机场回迁区幼儿园开办资金绩效目标表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1.加快临空经济区配套公务设施建设，解决幼儿园正常运转、师生在校安全、教师培训等问题。提升经济区的经济发展软实力，进一步优化营商环境，能明显提高社会效率。</w:t>
            </w:r>
          </w:p>
          <w:p>
            <w:pPr>
              <w:pStyle w:val="16"/>
            </w:pPr>
            <w:r>
              <w:t>2.解决幼儿园正常运转、师生在校安全、教师培训等问题，通过公开招标方式，进行幼儿园设备购置、装修、安保、物业服务等工作。由临空经济区管委会委托有相关资质的代理公司负责组织实施，完成新建园采购工作，签订相关合同，2023年9月前，完成拨付。</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教室装修数量</w:t>
            </w:r>
          </w:p>
        </w:tc>
        <w:tc>
          <w:tcPr>
            <w:tcW w:w="2835" w:type="dxa"/>
            <w:vAlign w:val="center"/>
          </w:tcPr>
          <w:p>
            <w:pPr>
              <w:pStyle w:val="16"/>
            </w:pPr>
            <w:r>
              <w:t>6班幼儿园教室装修数量</w:t>
            </w:r>
          </w:p>
        </w:tc>
        <w:tc>
          <w:tcPr>
            <w:tcW w:w="2551" w:type="dxa"/>
            <w:vAlign w:val="center"/>
          </w:tcPr>
          <w:p>
            <w:pPr>
              <w:pStyle w:val="16"/>
            </w:pPr>
            <w:r>
              <w:t>6间</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符合《河北省义务教育学校办学基本标准》及省市相关政策</w:t>
            </w:r>
          </w:p>
        </w:tc>
        <w:tc>
          <w:tcPr>
            <w:tcW w:w="2835" w:type="dxa"/>
            <w:vAlign w:val="center"/>
          </w:tcPr>
          <w:p>
            <w:pPr>
              <w:pStyle w:val="16"/>
            </w:pPr>
            <w:r>
              <w:t>符合基本办学标准及相关政策</w:t>
            </w:r>
          </w:p>
        </w:tc>
        <w:tc>
          <w:tcPr>
            <w:tcW w:w="2551" w:type="dxa"/>
            <w:vAlign w:val="center"/>
          </w:tcPr>
          <w:p>
            <w:pPr>
              <w:pStyle w:val="16"/>
            </w:pPr>
            <w:r>
              <w:t>符合</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设备到位及时率</w:t>
            </w:r>
          </w:p>
        </w:tc>
        <w:tc>
          <w:tcPr>
            <w:tcW w:w="2835" w:type="dxa"/>
            <w:vAlign w:val="center"/>
          </w:tcPr>
          <w:p>
            <w:pPr>
              <w:pStyle w:val="16"/>
            </w:pPr>
            <w:r>
              <w:t>按计划到位的设备数/总设备数</w:t>
            </w:r>
          </w:p>
        </w:tc>
        <w:tc>
          <w:tcPr>
            <w:tcW w:w="2551" w:type="dxa"/>
            <w:vAlign w:val="center"/>
          </w:tcPr>
          <w:p>
            <w:pPr>
              <w:pStyle w:val="16"/>
            </w:pPr>
            <w:r>
              <w:t>≥90%</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≤574.22万元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培养合格的后备人才</w:t>
            </w:r>
          </w:p>
        </w:tc>
        <w:tc>
          <w:tcPr>
            <w:tcW w:w="2835" w:type="dxa"/>
            <w:vAlign w:val="center"/>
          </w:tcPr>
          <w:p>
            <w:pPr>
              <w:pStyle w:val="16"/>
            </w:pPr>
            <w:r>
              <w:t>为培养合格的后备人才奠定基础</w:t>
            </w:r>
          </w:p>
        </w:tc>
        <w:tc>
          <w:tcPr>
            <w:tcW w:w="2551" w:type="dxa"/>
            <w:vAlign w:val="center"/>
          </w:tcPr>
          <w:p>
            <w:pPr>
              <w:pStyle w:val="16"/>
            </w:pPr>
            <w:r>
              <w:t>奠定</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解决航企职工及居民子女入学问题</w:t>
            </w:r>
          </w:p>
        </w:tc>
        <w:tc>
          <w:tcPr>
            <w:tcW w:w="2835" w:type="dxa"/>
            <w:vAlign w:val="center"/>
          </w:tcPr>
          <w:p>
            <w:pPr>
              <w:pStyle w:val="16"/>
            </w:pPr>
            <w:r>
              <w:t>解决服务范围内适龄儿童入学问题</w:t>
            </w:r>
          </w:p>
        </w:tc>
        <w:tc>
          <w:tcPr>
            <w:tcW w:w="2551" w:type="dxa"/>
            <w:vAlign w:val="center"/>
          </w:tcPr>
          <w:p>
            <w:pPr>
              <w:pStyle w:val="16"/>
            </w:pPr>
            <w:r>
              <w:t>解决</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校内相关人员对校内办公环境满意度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18、2022年林地可研编制服务绩效目标表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1.廊坊临空经济区（广阳片区）2022年结转报批林地10个批次报批，规划林地面积41.6328公顷，取得省林业和草原局出具的林地审核同意书。</w:t>
            </w:r>
          </w:p>
          <w:p>
            <w:pPr>
              <w:pStyle w:val="16"/>
            </w:pPr>
            <w:r>
              <w:t>2.3月份前取得取得省林业和草原局出具的林地审核同意书。</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面积数量</w:t>
            </w:r>
          </w:p>
        </w:tc>
        <w:tc>
          <w:tcPr>
            <w:tcW w:w="2835" w:type="dxa"/>
            <w:vAlign w:val="center"/>
          </w:tcPr>
          <w:p>
            <w:pPr>
              <w:pStyle w:val="16"/>
            </w:pPr>
            <w:r>
              <w:t>林地可研报告工作量</w:t>
            </w:r>
          </w:p>
        </w:tc>
        <w:tc>
          <w:tcPr>
            <w:tcW w:w="2551" w:type="dxa"/>
            <w:vAlign w:val="center"/>
          </w:tcPr>
          <w:p>
            <w:pPr>
              <w:pStyle w:val="16"/>
            </w:pPr>
            <w:r>
              <w:t>≥30公顷</w:t>
            </w:r>
          </w:p>
        </w:tc>
        <w:tc>
          <w:tcPr>
            <w:tcW w:w="2268" w:type="dxa"/>
            <w:vAlign w:val="center"/>
          </w:tcPr>
          <w:p>
            <w:pPr>
              <w:pStyle w:val="16"/>
            </w:pPr>
            <w:r>
              <w:t>2022年结转</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≥90%</w:t>
            </w:r>
          </w:p>
        </w:tc>
        <w:tc>
          <w:tcPr>
            <w:tcW w:w="2268" w:type="dxa"/>
            <w:vAlign w:val="center"/>
          </w:tcPr>
          <w:p>
            <w:pPr>
              <w:pStyle w:val="16"/>
            </w:pPr>
            <w:r>
              <w:t>验收要求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100%</w:t>
            </w:r>
          </w:p>
        </w:tc>
        <w:tc>
          <w:tcPr>
            <w:tcW w:w="2268" w:type="dxa"/>
            <w:vAlign w:val="center"/>
          </w:tcPr>
          <w:p>
            <w:pPr>
              <w:pStyle w:val="16"/>
            </w:pPr>
            <w:r>
              <w:t>依照合同约定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项目平均成本</w:t>
            </w:r>
          </w:p>
        </w:tc>
        <w:tc>
          <w:tcPr>
            <w:tcW w:w="2835" w:type="dxa"/>
            <w:vAlign w:val="center"/>
          </w:tcPr>
          <w:p>
            <w:pPr>
              <w:pStyle w:val="16"/>
            </w:pPr>
            <w:r>
              <w:t>林地可研报告编制服务费</w:t>
            </w:r>
          </w:p>
        </w:tc>
        <w:tc>
          <w:tcPr>
            <w:tcW w:w="2551" w:type="dxa"/>
            <w:vAlign w:val="center"/>
          </w:tcPr>
          <w:p>
            <w:pPr>
              <w:pStyle w:val="16"/>
            </w:pPr>
            <w:r>
              <w:t>≤176.67万元</w:t>
            </w:r>
          </w:p>
        </w:tc>
        <w:tc>
          <w:tcPr>
            <w:tcW w:w="2268" w:type="dxa"/>
            <w:vAlign w:val="center"/>
          </w:tcPr>
          <w:p>
            <w:pPr>
              <w:pStyle w:val="16"/>
            </w:pPr>
            <w:r>
              <w:t>依照合同约定</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对临空经济区的社会效益</w:t>
            </w:r>
          </w:p>
        </w:tc>
        <w:tc>
          <w:tcPr>
            <w:tcW w:w="2835" w:type="dxa"/>
            <w:vAlign w:val="center"/>
          </w:tcPr>
          <w:p>
            <w:pPr>
              <w:pStyle w:val="16"/>
            </w:pPr>
            <w:r>
              <w:t>扩大社会影响力</w:t>
            </w:r>
          </w:p>
        </w:tc>
        <w:tc>
          <w:tcPr>
            <w:tcW w:w="2551" w:type="dxa"/>
            <w:vAlign w:val="center"/>
          </w:tcPr>
          <w:p>
            <w:pPr>
              <w:pStyle w:val="16"/>
            </w:pPr>
            <w:r>
              <w:t>提升</w:t>
            </w:r>
          </w:p>
        </w:tc>
        <w:tc>
          <w:tcPr>
            <w:tcW w:w="2268" w:type="dxa"/>
            <w:vAlign w:val="center"/>
          </w:tcPr>
          <w:p>
            <w:pPr>
              <w:pStyle w:val="16"/>
            </w:pPr>
            <w:r>
              <w:t>满意度调查</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对临空经济区生态文明建设的影响</w:t>
            </w:r>
          </w:p>
        </w:tc>
        <w:tc>
          <w:tcPr>
            <w:tcW w:w="2835" w:type="dxa"/>
            <w:vAlign w:val="center"/>
          </w:tcPr>
          <w:p>
            <w:pPr>
              <w:pStyle w:val="16"/>
            </w:pPr>
            <w:r>
              <w:t>无</w:t>
            </w:r>
          </w:p>
        </w:tc>
        <w:tc>
          <w:tcPr>
            <w:tcW w:w="2551" w:type="dxa"/>
            <w:vAlign w:val="center"/>
          </w:tcPr>
          <w:p>
            <w:pPr>
              <w:pStyle w:val="16"/>
            </w:pPr>
            <w:r>
              <w:t>提高</w:t>
            </w:r>
          </w:p>
        </w:tc>
        <w:tc>
          <w:tcPr>
            <w:tcW w:w="2268" w:type="dxa"/>
            <w:vAlign w:val="center"/>
          </w:tcPr>
          <w:p>
            <w:pPr>
              <w:pStyle w:val="16"/>
            </w:pPr>
            <w:r>
              <w:t>调查</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持续影响力</w:t>
            </w:r>
          </w:p>
        </w:tc>
        <w:tc>
          <w:tcPr>
            <w:tcW w:w="2835" w:type="dxa"/>
            <w:vAlign w:val="center"/>
          </w:tcPr>
          <w:p>
            <w:pPr>
              <w:pStyle w:val="16"/>
            </w:pPr>
            <w:r>
              <w:t>无</w:t>
            </w:r>
          </w:p>
        </w:tc>
        <w:tc>
          <w:tcPr>
            <w:tcW w:w="2551" w:type="dxa"/>
            <w:vAlign w:val="center"/>
          </w:tcPr>
          <w:p>
            <w:pPr>
              <w:pStyle w:val="16"/>
            </w:pPr>
            <w:r>
              <w:t>拉动</w:t>
            </w:r>
          </w:p>
        </w:tc>
        <w:tc>
          <w:tcPr>
            <w:tcW w:w="2268" w:type="dxa"/>
            <w:vAlign w:val="center"/>
          </w:tcPr>
          <w:p>
            <w:pPr>
              <w:pStyle w:val="16"/>
            </w:pPr>
            <w:r>
              <w:t>调查</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项目验收部门满意度</w:t>
            </w:r>
          </w:p>
        </w:tc>
        <w:tc>
          <w:tcPr>
            <w:tcW w:w="2835" w:type="dxa"/>
            <w:vAlign w:val="center"/>
          </w:tcPr>
          <w:p>
            <w:pPr>
              <w:pStyle w:val="16"/>
            </w:pPr>
            <w:r>
              <w:t>项目验收部门满意度</w:t>
            </w:r>
          </w:p>
        </w:tc>
        <w:tc>
          <w:tcPr>
            <w:tcW w:w="2551" w:type="dxa"/>
            <w:vAlign w:val="center"/>
          </w:tcPr>
          <w:p>
            <w:pPr>
              <w:pStyle w:val="16"/>
            </w:pPr>
            <w:r>
              <w:t>≥95%</w:t>
            </w:r>
          </w:p>
        </w:tc>
        <w:tc>
          <w:tcPr>
            <w:tcW w:w="2268" w:type="dxa"/>
            <w:vAlign w:val="center"/>
          </w:tcPr>
          <w:p>
            <w:pPr>
              <w:pStyle w:val="16"/>
            </w:pPr>
            <w:r>
              <w:t>项目验收部门满意度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19、2022年临空综合警务保障资金——巡查经费绩效目标表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1.协助廊坊临空经济区综合执法局实现临空经济区企业安全生产监管体系建设规范有序，开展各类安全管理活动，提升临空经济区综合执法局管理水平，降低事故发生率，完成2023年度安全生产目标。</w:t>
            </w:r>
          </w:p>
          <w:p>
            <w:pPr>
              <w:pStyle w:val="16"/>
            </w:pPr>
            <w:r>
              <w:t>2.租赁社会车辆，是城市管理执法工作的物质基础，是城市管理执法队伍建设的重要组成部分，通过租赁社会车辆保障了综合执法局工作的顺利实施，确保圆满完成2023年度工作任务。</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向社会采购车辆租赁服务</w:t>
            </w:r>
          </w:p>
        </w:tc>
        <w:tc>
          <w:tcPr>
            <w:tcW w:w="2835" w:type="dxa"/>
            <w:vAlign w:val="center"/>
          </w:tcPr>
          <w:p>
            <w:pPr>
              <w:pStyle w:val="16"/>
            </w:pPr>
            <w:r>
              <w:t>向社会采购车辆租赁服务</w:t>
            </w:r>
          </w:p>
        </w:tc>
        <w:tc>
          <w:tcPr>
            <w:tcW w:w="2551" w:type="dxa"/>
            <w:vAlign w:val="center"/>
          </w:tcPr>
          <w:p>
            <w:pPr>
              <w:pStyle w:val="16"/>
            </w:pPr>
            <w:r>
              <w:t>7辆</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服务及时完成数量/总服务数量*100%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控制支付的总费用</w:t>
            </w:r>
          </w:p>
        </w:tc>
        <w:tc>
          <w:tcPr>
            <w:tcW w:w="2551" w:type="dxa"/>
            <w:vAlign w:val="center"/>
          </w:tcPr>
          <w:p>
            <w:pPr>
              <w:pStyle w:val="16"/>
            </w:pPr>
            <w:r>
              <w:t>≤68.48万元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tc>
        <w:tc>
          <w:tcPr>
            <w:tcW w:w="2835" w:type="dxa"/>
            <w:vAlign w:val="center"/>
          </w:tcPr>
          <w:p>
            <w:pPr>
              <w:pStyle w:val="16"/>
            </w:pPr>
            <w:r>
              <w:t>提升临空经济区管理水平</w:t>
            </w:r>
          </w:p>
        </w:tc>
        <w:tc>
          <w:tcPr>
            <w:tcW w:w="2551" w:type="dxa"/>
            <w:vAlign w:val="center"/>
          </w:tcPr>
          <w:p>
            <w:pPr>
              <w:pStyle w:val="16"/>
            </w:pPr>
            <w:r>
              <w:t>提升</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调查中满意服务人员/服务人员总数*100%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20、2022年绿建专项规划实施方案研究绩效目标表</w:t>
      </w:r>
    </w:p>
    <w:tbl>
      <w:tblPr>
        <w:tblStyle w:val="8"/>
        <w:tblW w:w="14161"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1695"/>
      </w:tblGrid>
      <w:tr>
        <w:trPr>
          <w:trHeight w:val="397" w:hRule="atLeast"/>
          <w:jc w:val="center"/>
        </w:trPr>
        <w:tc>
          <w:tcPr>
            <w:tcW w:w="2466" w:type="dxa"/>
            <w:tcBorders>
              <w:bottom w:val="single" w:color="FFFFFF" w:sz="6" w:space="0"/>
            </w:tcBorders>
            <w:vAlign w:val="center"/>
          </w:tcPr>
          <w:p>
            <w:pPr>
              <w:pStyle w:val="14"/>
            </w:pPr>
            <w:r>
              <w:t>绩效目标</w:t>
            </w:r>
          </w:p>
        </w:tc>
        <w:tc>
          <w:tcPr>
            <w:tcW w:w="11695" w:type="dxa"/>
            <w:tcBorders>
              <w:bottom w:val="single" w:color="FFFFFF" w:sz="6" w:space="0"/>
            </w:tcBorders>
            <w:vAlign w:val="center"/>
          </w:tcPr>
          <w:p>
            <w:pPr>
              <w:pStyle w:val="16"/>
            </w:pPr>
            <w:r>
              <w:t>1.为贯彻绿色发展理念，推进建筑业高质量发展，对临空经济区建设用地面积46.8平方公里进行绿建专项规划实施方案研究编制工作，指导和推进临空经济区绿色建筑发展和城乡建设高质量发展，促进临空区绿色建筑发展，形成人与自然环境和谐的开放型临空经济区。</w:t>
            </w:r>
          </w:p>
          <w:p>
            <w:pPr>
              <w:pStyle w:val="16"/>
            </w:pPr>
            <w:r>
              <w:t>2.1.本次项目提交成果册1套。2.项目验收将通过组织专家评审会严把质量关，成果专家评审率达到100%。3.严格控制规划成本，成本控制总价需≤49.5万元。4.于2022年12月底完成成果编制，及时率达到100%。5.通过项目的开展，通过廊坊临空经济区绿色建筑专项规划为临空后续建设提供支撑，指导临空经济区高质量发展，提升临空区土地使用效率，为生态良好保驾护航。6.项目编制完成后，社会满意度需达到90%以上。</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成果数量</w:t>
            </w:r>
          </w:p>
        </w:tc>
        <w:tc>
          <w:tcPr>
            <w:tcW w:w="2835" w:type="dxa"/>
            <w:vAlign w:val="center"/>
          </w:tcPr>
          <w:p>
            <w:pPr>
              <w:pStyle w:val="16"/>
            </w:pPr>
            <w:r>
              <w:t>提交成果数量达到要求</w:t>
            </w:r>
          </w:p>
        </w:tc>
        <w:tc>
          <w:tcPr>
            <w:tcW w:w="2551" w:type="dxa"/>
            <w:vAlign w:val="center"/>
          </w:tcPr>
          <w:p>
            <w:pPr>
              <w:pStyle w:val="16"/>
            </w:pPr>
            <w:r>
              <w:t>1套</w:t>
            </w:r>
          </w:p>
        </w:tc>
        <w:tc>
          <w:tcPr>
            <w:tcW w:w="2268" w:type="dxa"/>
            <w:vAlign w:val="center"/>
          </w:tcPr>
          <w:p>
            <w:pPr>
              <w:pStyle w:val="16"/>
            </w:pPr>
            <w:r>
              <w:t>根据合同约定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编制成果评审通过率</w:t>
            </w:r>
          </w:p>
        </w:tc>
        <w:tc>
          <w:tcPr>
            <w:tcW w:w="2835" w:type="dxa"/>
            <w:vAlign w:val="center"/>
          </w:tcPr>
          <w:p>
            <w:pPr>
              <w:pStyle w:val="16"/>
            </w:pPr>
            <w:r>
              <w:t>评审合格规划数量/总规划数量*100%</w:t>
            </w:r>
          </w:p>
        </w:tc>
        <w:tc>
          <w:tcPr>
            <w:tcW w:w="2551" w:type="dxa"/>
            <w:vAlign w:val="center"/>
          </w:tcPr>
          <w:p>
            <w:pPr>
              <w:pStyle w:val="16"/>
            </w:pPr>
            <w:r>
              <w:t>100%</w:t>
            </w:r>
          </w:p>
        </w:tc>
        <w:tc>
          <w:tcPr>
            <w:tcW w:w="2268" w:type="dxa"/>
            <w:vAlign w:val="center"/>
          </w:tcPr>
          <w:p>
            <w:pPr>
              <w:pStyle w:val="16"/>
            </w:pPr>
            <w:r>
              <w:t>专家评审论证意见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完成规划所需时间</w:t>
            </w:r>
          </w:p>
        </w:tc>
        <w:tc>
          <w:tcPr>
            <w:tcW w:w="2551" w:type="dxa"/>
            <w:vAlign w:val="center"/>
          </w:tcPr>
          <w:p>
            <w:pPr>
              <w:pStyle w:val="16"/>
            </w:pPr>
            <w:r>
              <w:t>5月底前</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考察项目最终成本</w:t>
            </w:r>
          </w:p>
        </w:tc>
        <w:tc>
          <w:tcPr>
            <w:tcW w:w="2551" w:type="dxa"/>
            <w:vAlign w:val="center"/>
          </w:tcPr>
          <w:p>
            <w:pPr>
              <w:pStyle w:val="16"/>
            </w:pPr>
            <w:r>
              <w:t>≤49.5万元</w:t>
            </w:r>
          </w:p>
        </w:tc>
        <w:tc>
          <w:tcPr>
            <w:tcW w:w="2268" w:type="dxa"/>
            <w:vAlign w:val="center"/>
          </w:tcPr>
          <w:p>
            <w:pPr>
              <w:pStyle w:val="16"/>
            </w:pPr>
            <w:r>
              <w:t>依照合同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为临空后续建设提供支撑</w:t>
            </w:r>
          </w:p>
        </w:tc>
        <w:tc>
          <w:tcPr>
            <w:tcW w:w="2835" w:type="dxa"/>
            <w:vAlign w:val="center"/>
          </w:tcPr>
          <w:p>
            <w:pPr>
              <w:pStyle w:val="16"/>
            </w:pPr>
            <w:r>
              <w:t>绿色建筑是临空实现可持续发展的重要举措</w:t>
            </w:r>
          </w:p>
        </w:tc>
        <w:tc>
          <w:tcPr>
            <w:tcW w:w="2551" w:type="dxa"/>
            <w:vAlign w:val="center"/>
          </w:tcPr>
          <w:p>
            <w:pPr>
              <w:pStyle w:val="16"/>
            </w:pPr>
            <w:r>
              <w:t>支撑</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指导临空经济区高质量发展</w:t>
            </w:r>
          </w:p>
        </w:tc>
        <w:tc>
          <w:tcPr>
            <w:tcW w:w="2835" w:type="dxa"/>
            <w:vAlign w:val="center"/>
          </w:tcPr>
          <w:p>
            <w:pPr>
              <w:pStyle w:val="16"/>
            </w:pPr>
            <w:r>
              <w:t>绿色建筑将降低建筑能耗，有助于实现低碳目标</w:t>
            </w:r>
          </w:p>
        </w:tc>
        <w:tc>
          <w:tcPr>
            <w:tcW w:w="2551" w:type="dxa"/>
            <w:vAlign w:val="center"/>
          </w:tcPr>
          <w:p>
            <w:pPr>
              <w:pStyle w:val="16"/>
            </w:pPr>
            <w:r>
              <w:t>提升</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提升土地使用效益</w:t>
            </w:r>
          </w:p>
        </w:tc>
        <w:tc>
          <w:tcPr>
            <w:tcW w:w="2835" w:type="dxa"/>
            <w:vAlign w:val="center"/>
          </w:tcPr>
          <w:p>
            <w:pPr>
              <w:pStyle w:val="16"/>
            </w:pPr>
            <w:r>
              <w:t>最大限度节约土地资源，为居民提供高效使用空间</w:t>
            </w:r>
          </w:p>
        </w:tc>
        <w:tc>
          <w:tcPr>
            <w:tcW w:w="2551" w:type="dxa"/>
            <w:vAlign w:val="center"/>
          </w:tcPr>
          <w:p>
            <w:pPr>
              <w:pStyle w:val="16"/>
            </w:pPr>
            <w:r>
              <w:t>提升</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为生态良好保驾护航</w:t>
            </w:r>
          </w:p>
        </w:tc>
        <w:tc>
          <w:tcPr>
            <w:tcW w:w="2835" w:type="dxa"/>
            <w:vAlign w:val="center"/>
          </w:tcPr>
          <w:p>
            <w:pPr>
              <w:pStyle w:val="16"/>
            </w:pPr>
            <w:r>
              <w:t>促进资源集约利用，改善人居环境</w:t>
            </w:r>
          </w:p>
        </w:tc>
        <w:tc>
          <w:tcPr>
            <w:tcW w:w="2551" w:type="dxa"/>
            <w:vAlign w:val="center"/>
          </w:tcPr>
          <w:p>
            <w:pPr>
              <w:pStyle w:val="16"/>
            </w:pPr>
            <w:r>
              <w:t>支撑</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调查问卷满意人数/调查问卷总人数*100%</w:t>
            </w:r>
          </w:p>
        </w:tc>
        <w:tc>
          <w:tcPr>
            <w:tcW w:w="2551" w:type="dxa"/>
            <w:vAlign w:val="center"/>
          </w:tcPr>
          <w:p>
            <w:pPr>
              <w:pStyle w:val="16"/>
            </w:pPr>
            <w:r>
              <w:t>≥90%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21、2022年启动区详细城市设计绩效目标表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坚持“小切口、大循环、压茬推进、自我平衡”，综合区域交通、用地规划、项目招商情况，对已确定的六个产业启动区进行包含城市总体区域空间效果控制、城市公共空间可视化效果控制、城市地块内部风貌导则立体化表达控制等精细化城市设计工作，成果重在协调、梳理街区、组团、建筑之间的内在逻辑关系形成更加怡人的空间环境以及与产业特色高度契合的建筑风貌；建立更加重层次、重关联性的正负面清单，强调对道路街巷系统以及邻里单元系统之间的整体把控；形成便于操作、审核的可视化风貌导则系统，使未来的设计深化具有可靠、直观的依据并兼具一定的灵活度的管控原则。</w:t>
            </w:r>
          </w:p>
          <w:p>
            <w:pPr>
              <w:pStyle w:val="16"/>
            </w:pPr>
            <w:r>
              <w:t>2.完成启动区详细城市设计编制，形成启动区24项城市设计导则成果及启动区城市设计图则</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提交成果成果数量</w:t>
            </w:r>
          </w:p>
        </w:tc>
        <w:tc>
          <w:tcPr>
            <w:tcW w:w="2835" w:type="dxa"/>
            <w:vAlign w:val="center"/>
          </w:tcPr>
          <w:p>
            <w:pPr>
              <w:pStyle w:val="16"/>
            </w:pPr>
            <w:r>
              <w:t>规划编制说明书、文本册和图册</w:t>
            </w:r>
          </w:p>
        </w:tc>
        <w:tc>
          <w:tcPr>
            <w:tcW w:w="2551" w:type="dxa"/>
            <w:vAlign w:val="center"/>
          </w:tcPr>
          <w:p>
            <w:pPr>
              <w:pStyle w:val="16"/>
            </w:pPr>
            <w:r>
              <w:t>8套</w:t>
            </w:r>
          </w:p>
        </w:tc>
        <w:tc>
          <w:tcPr>
            <w:tcW w:w="2268" w:type="dxa"/>
            <w:vAlign w:val="center"/>
          </w:tcPr>
          <w:p>
            <w:pPr>
              <w:pStyle w:val="16"/>
            </w:pPr>
            <w:r>
              <w:t>根据合同约定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评审通过率</w:t>
            </w:r>
          </w:p>
        </w:tc>
        <w:tc>
          <w:tcPr>
            <w:tcW w:w="2835" w:type="dxa"/>
            <w:vAlign w:val="center"/>
          </w:tcPr>
          <w:p>
            <w:pPr>
              <w:pStyle w:val="16"/>
            </w:pPr>
            <w:r>
              <w:t>专家评审通过率</w:t>
            </w:r>
          </w:p>
        </w:tc>
        <w:tc>
          <w:tcPr>
            <w:tcW w:w="2551" w:type="dxa"/>
            <w:vAlign w:val="center"/>
          </w:tcPr>
          <w:p>
            <w:pPr>
              <w:pStyle w:val="16"/>
            </w:pPr>
            <w:r>
              <w:t>100%</w:t>
            </w:r>
          </w:p>
        </w:tc>
        <w:tc>
          <w:tcPr>
            <w:tcW w:w="2268" w:type="dxa"/>
            <w:vAlign w:val="center"/>
          </w:tcPr>
          <w:p>
            <w:pPr>
              <w:pStyle w:val="16"/>
            </w:pPr>
            <w:r>
              <w:t>专家评审论证意见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成果提交时间率</w:t>
            </w:r>
          </w:p>
        </w:tc>
        <w:tc>
          <w:tcPr>
            <w:tcW w:w="2835" w:type="dxa"/>
            <w:vAlign w:val="center"/>
          </w:tcPr>
          <w:p>
            <w:pPr>
              <w:pStyle w:val="16"/>
            </w:pPr>
            <w:r>
              <w:t>按约定时间及时提交成果及时率</w:t>
            </w:r>
          </w:p>
        </w:tc>
        <w:tc>
          <w:tcPr>
            <w:tcW w:w="2551" w:type="dxa"/>
            <w:vAlign w:val="center"/>
          </w:tcPr>
          <w:p>
            <w:pPr>
              <w:pStyle w:val="16"/>
            </w:pPr>
            <w:r>
              <w:t>100%</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项目总价</w:t>
            </w:r>
          </w:p>
        </w:tc>
        <w:tc>
          <w:tcPr>
            <w:tcW w:w="2551" w:type="dxa"/>
            <w:vAlign w:val="center"/>
          </w:tcPr>
          <w:p>
            <w:pPr>
              <w:pStyle w:val="16"/>
            </w:pPr>
            <w:r>
              <w:t>≤1188万元</w:t>
            </w:r>
          </w:p>
        </w:tc>
        <w:tc>
          <w:tcPr>
            <w:tcW w:w="2268" w:type="dxa"/>
            <w:vAlign w:val="center"/>
          </w:tcPr>
          <w:p>
            <w:pPr>
              <w:pStyle w:val="16"/>
            </w:pPr>
            <w:r>
              <w:t>依照合同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规划落地</w:t>
            </w:r>
          </w:p>
        </w:tc>
        <w:tc>
          <w:tcPr>
            <w:tcW w:w="2835" w:type="dxa"/>
            <w:vAlign w:val="center"/>
          </w:tcPr>
          <w:p>
            <w:pPr>
              <w:pStyle w:val="16"/>
            </w:pPr>
            <w:r>
              <w:t>进行包含城市总体区域空间效果控制、城市公共空间可视化效果控制、城市地块内部风貌导则立体化表达控制等精细化城市设计工作</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高质量发展</w:t>
            </w:r>
          </w:p>
        </w:tc>
        <w:tc>
          <w:tcPr>
            <w:tcW w:w="2835" w:type="dxa"/>
            <w:vAlign w:val="center"/>
          </w:tcPr>
          <w:p>
            <w:pPr>
              <w:pStyle w:val="16"/>
            </w:pPr>
            <w:r>
              <w:t>指导临空经济区高质量建设</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支撑作用</w:t>
            </w:r>
          </w:p>
        </w:tc>
        <w:tc>
          <w:tcPr>
            <w:tcW w:w="2835" w:type="dxa"/>
            <w:vAlign w:val="center"/>
          </w:tcPr>
          <w:p>
            <w:pPr>
              <w:pStyle w:val="16"/>
            </w:pPr>
            <w:r>
              <w:t>建立匹配理想人居环境的高品质城市</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生态空间格局优化</w:t>
            </w:r>
          </w:p>
        </w:tc>
        <w:tc>
          <w:tcPr>
            <w:tcW w:w="2835" w:type="dxa"/>
            <w:vAlign w:val="center"/>
          </w:tcPr>
          <w:p>
            <w:pPr>
              <w:pStyle w:val="16"/>
            </w:pPr>
            <w:r>
              <w:t>释放生态活力</w:t>
            </w:r>
          </w:p>
        </w:tc>
        <w:tc>
          <w:tcPr>
            <w:tcW w:w="2551" w:type="dxa"/>
            <w:vAlign w:val="center"/>
          </w:tcPr>
          <w:p>
            <w:pPr>
              <w:pStyle w:val="16"/>
            </w:pPr>
            <w:r>
              <w:t>促进作用</w:t>
            </w:r>
          </w:p>
        </w:tc>
        <w:tc>
          <w:tcPr>
            <w:tcW w:w="2268" w:type="dxa"/>
            <w:vAlign w:val="center"/>
          </w:tcPr>
          <w:p>
            <w:pPr>
              <w:pStyle w:val="16"/>
            </w:pPr>
            <w:r>
              <w:t>显著增强</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科室满意度</w:t>
            </w:r>
          </w:p>
        </w:tc>
        <w:tc>
          <w:tcPr>
            <w:tcW w:w="2835" w:type="dxa"/>
            <w:vAlign w:val="center"/>
          </w:tcPr>
          <w:p>
            <w:pPr>
              <w:pStyle w:val="16"/>
            </w:pPr>
            <w:r>
              <w:t>有关科室对相关工作满意度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22、2022年土地转征资金绩效目标表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1.为尽快完成土地转用征收组卷工作，申请管委会支付社保费、风险基金、预储金、森林植被恢复费、耕地占用税19735.3232万元，拟由发展改革和财政局依据缴费凭证及资金审批卡拨付。</w:t>
            </w:r>
          </w:p>
          <w:p>
            <w:pPr>
              <w:pStyle w:val="16"/>
            </w:pPr>
            <w:r>
              <w:t>2.1.支付17个批次（项目）的社保费8951.8624万元，风险基金789.6836万元，预储金8926.9275万元；2.支付7个批次（项目）的森林植被恢复费538.5404万元；3.支付26个批次（项目）的新增建设用地有偿使用费7539.1792万元；4.支付3个批次（项目）的耕地占用税528.3093万元。</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支付土地转用征收税费批次数量</w:t>
            </w:r>
          </w:p>
        </w:tc>
        <w:tc>
          <w:tcPr>
            <w:tcW w:w="2835" w:type="dxa"/>
            <w:vAlign w:val="center"/>
          </w:tcPr>
          <w:p>
            <w:pPr>
              <w:pStyle w:val="16"/>
            </w:pPr>
            <w:r>
              <w:t>支付土地转征资金拨付批次数量</w:t>
            </w:r>
          </w:p>
        </w:tc>
        <w:tc>
          <w:tcPr>
            <w:tcW w:w="2551" w:type="dxa"/>
            <w:vAlign w:val="center"/>
          </w:tcPr>
          <w:p>
            <w:pPr>
              <w:pStyle w:val="16"/>
            </w:pPr>
            <w:r>
              <w:t>53个</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支付土地转用征收税费批次完成率</w:t>
            </w:r>
          </w:p>
        </w:tc>
        <w:tc>
          <w:tcPr>
            <w:tcW w:w="2835" w:type="dxa"/>
            <w:vAlign w:val="center"/>
          </w:tcPr>
          <w:p>
            <w:pPr>
              <w:pStyle w:val="16"/>
            </w:pPr>
            <w:r>
              <w:t>实际支付土地转用征收税费批次数量/支付土地转用征收税费批次总数量*100%</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支付土地转用征收税费及时率</w:t>
            </w:r>
          </w:p>
        </w:tc>
        <w:tc>
          <w:tcPr>
            <w:tcW w:w="2835" w:type="dxa"/>
            <w:vAlign w:val="center"/>
          </w:tcPr>
          <w:p>
            <w:pPr>
              <w:pStyle w:val="16"/>
            </w:pPr>
            <w:r>
              <w:t>及时支付土地转用征收税费数量/支付土地转用征收税费总数量*100%</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社保费成本</w:t>
            </w:r>
          </w:p>
        </w:tc>
        <w:tc>
          <w:tcPr>
            <w:tcW w:w="2835" w:type="dxa"/>
            <w:vAlign w:val="center"/>
          </w:tcPr>
          <w:p>
            <w:pPr>
              <w:pStyle w:val="16"/>
            </w:pPr>
            <w:r>
              <w:t>考察社保费控制情况</w:t>
            </w:r>
          </w:p>
        </w:tc>
        <w:tc>
          <w:tcPr>
            <w:tcW w:w="2551" w:type="dxa"/>
            <w:vAlign w:val="center"/>
          </w:tcPr>
          <w:p>
            <w:pPr>
              <w:pStyle w:val="16"/>
            </w:pPr>
            <w:r>
              <w:t>≤8951.87万元</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预储金成本</w:t>
            </w:r>
          </w:p>
        </w:tc>
        <w:tc>
          <w:tcPr>
            <w:tcW w:w="2835" w:type="dxa"/>
            <w:vAlign w:val="center"/>
          </w:tcPr>
          <w:p>
            <w:pPr>
              <w:pStyle w:val="16"/>
            </w:pPr>
            <w:r>
              <w:t>考察预储金成本控制情况</w:t>
            </w:r>
          </w:p>
        </w:tc>
        <w:tc>
          <w:tcPr>
            <w:tcW w:w="2551" w:type="dxa"/>
            <w:vAlign w:val="center"/>
          </w:tcPr>
          <w:p>
            <w:pPr>
              <w:pStyle w:val="16"/>
            </w:pPr>
            <w:r>
              <w:t>≤8926.93万元</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耕地占用税成本</w:t>
            </w:r>
          </w:p>
        </w:tc>
        <w:tc>
          <w:tcPr>
            <w:tcW w:w="2835" w:type="dxa"/>
            <w:vAlign w:val="center"/>
          </w:tcPr>
          <w:p>
            <w:pPr>
              <w:pStyle w:val="16"/>
            </w:pPr>
            <w:r>
              <w:t>考察耕地占用税成本控制情况</w:t>
            </w:r>
          </w:p>
        </w:tc>
        <w:tc>
          <w:tcPr>
            <w:tcW w:w="2551" w:type="dxa"/>
            <w:vAlign w:val="center"/>
          </w:tcPr>
          <w:p>
            <w:pPr>
              <w:pStyle w:val="16"/>
            </w:pPr>
            <w:r>
              <w:t>≤528.31万元</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森林植被恢复费成本</w:t>
            </w:r>
          </w:p>
        </w:tc>
        <w:tc>
          <w:tcPr>
            <w:tcW w:w="2835" w:type="dxa"/>
            <w:vAlign w:val="center"/>
          </w:tcPr>
          <w:p>
            <w:pPr>
              <w:pStyle w:val="16"/>
            </w:pPr>
            <w:r>
              <w:t>考察森林植被恢复费成本控制情况</w:t>
            </w:r>
          </w:p>
        </w:tc>
        <w:tc>
          <w:tcPr>
            <w:tcW w:w="2551" w:type="dxa"/>
            <w:vAlign w:val="center"/>
          </w:tcPr>
          <w:p>
            <w:pPr>
              <w:pStyle w:val="16"/>
            </w:pPr>
            <w:r>
              <w:t>≤538.55万元</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风险基金成本</w:t>
            </w:r>
          </w:p>
        </w:tc>
        <w:tc>
          <w:tcPr>
            <w:tcW w:w="2835" w:type="dxa"/>
            <w:vAlign w:val="center"/>
          </w:tcPr>
          <w:p>
            <w:pPr>
              <w:pStyle w:val="16"/>
            </w:pPr>
            <w:r>
              <w:t>考察风险基金成本控制情况</w:t>
            </w:r>
          </w:p>
        </w:tc>
        <w:tc>
          <w:tcPr>
            <w:tcW w:w="2551" w:type="dxa"/>
            <w:vAlign w:val="center"/>
          </w:tcPr>
          <w:p>
            <w:pPr>
              <w:pStyle w:val="16"/>
            </w:pPr>
            <w:r>
              <w:t>≤789.69万元</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提高土地资源合理配置</w:t>
            </w:r>
          </w:p>
        </w:tc>
        <w:tc>
          <w:tcPr>
            <w:tcW w:w="2835" w:type="dxa"/>
            <w:vAlign w:val="center"/>
          </w:tcPr>
          <w:p>
            <w:pPr>
              <w:pStyle w:val="16"/>
            </w:pPr>
            <w:r>
              <w:t>提高土地资源合理配置</w:t>
            </w:r>
          </w:p>
        </w:tc>
        <w:tc>
          <w:tcPr>
            <w:tcW w:w="2551" w:type="dxa"/>
            <w:vAlign w:val="center"/>
          </w:tcPr>
          <w:p>
            <w:pPr>
              <w:pStyle w:val="16"/>
            </w:pPr>
            <w:r>
              <w:t>提高</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工作人员满意人数/调查总人数*100%</w:t>
            </w:r>
          </w:p>
        </w:tc>
        <w:tc>
          <w:tcPr>
            <w:tcW w:w="2551" w:type="dxa"/>
            <w:vAlign w:val="center"/>
          </w:tcPr>
          <w:p>
            <w:pPr>
              <w:pStyle w:val="16"/>
            </w:pPr>
            <w:r>
              <w:t>≥95%</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23、2022年项目审批评估服务费绩效目标表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1.通过项目的开展为临空经济区行政审批工作提供必要支撑，进而服务临空经济区项目建设。</w:t>
            </w:r>
          </w:p>
          <w:p>
            <w:pPr>
              <w:pStyle w:val="16"/>
            </w:pPr>
            <w:r>
              <w:t>2.通过项目的开展为临空经济区政务服务中心依法依规开展行政审批工作提供有力保障，为企业提供良好营商环境。</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咨询评估单位数量</w:t>
            </w:r>
          </w:p>
        </w:tc>
        <w:tc>
          <w:tcPr>
            <w:tcW w:w="2835" w:type="dxa"/>
            <w:vAlign w:val="center"/>
          </w:tcPr>
          <w:p>
            <w:pPr>
              <w:pStyle w:val="16"/>
            </w:pPr>
            <w:r>
              <w:t>提供项目咨询评估服务的咨询评估单位数量</w:t>
            </w:r>
          </w:p>
        </w:tc>
        <w:tc>
          <w:tcPr>
            <w:tcW w:w="2551" w:type="dxa"/>
            <w:vAlign w:val="center"/>
          </w:tcPr>
          <w:p>
            <w:pPr>
              <w:pStyle w:val="16"/>
            </w:pPr>
            <w:r>
              <w:t>≥4个</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评审结果或评审报告合格率</w:t>
            </w:r>
          </w:p>
        </w:tc>
        <w:tc>
          <w:tcPr>
            <w:tcW w:w="2835" w:type="dxa"/>
            <w:vAlign w:val="center"/>
          </w:tcPr>
          <w:p>
            <w:pPr>
              <w:pStyle w:val="16"/>
            </w:pPr>
            <w:r>
              <w:t>评审结果或评审报告合格数占总评估评审结果总数量的比率</w:t>
            </w:r>
          </w:p>
        </w:tc>
        <w:tc>
          <w:tcPr>
            <w:tcW w:w="2551" w:type="dxa"/>
            <w:vAlign w:val="center"/>
          </w:tcPr>
          <w:p>
            <w:pPr>
              <w:pStyle w:val="16"/>
            </w:pPr>
            <w:r>
              <w:t>≥95%</w:t>
            </w:r>
          </w:p>
        </w:tc>
        <w:tc>
          <w:tcPr>
            <w:tcW w:w="2268" w:type="dxa"/>
            <w:vAlign w:val="center"/>
          </w:tcPr>
          <w:p>
            <w:pPr>
              <w:pStyle w:val="16"/>
            </w:pPr>
            <w:r>
              <w:t>行业标准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项目咨询评估的完成时限</w:t>
            </w:r>
          </w:p>
        </w:tc>
        <w:tc>
          <w:tcPr>
            <w:tcW w:w="2835" w:type="dxa"/>
            <w:vAlign w:val="center"/>
          </w:tcPr>
          <w:p>
            <w:pPr>
              <w:pStyle w:val="16"/>
            </w:pPr>
            <w:r>
              <w:t>咨询评估单位对项目资料进行评审所需时间</w:t>
            </w:r>
          </w:p>
        </w:tc>
        <w:tc>
          <w:tcPr>
            <w:tcW w:w="2551" w:type="dxa"/>
            <w:vAlign w:val="center"/>
          </w:tcPr>
          <w:p>
            <w:pPr>
              <w:pStyle w:val="16"/>
            </w:pPr>
            <w:r>
              <w:t>按照合同约定时间完成</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项目咨询评估服务成本</w:t>
            </w:r>
          </w:p>
        </w:tc>
        <w:tc>
          <w:tcPr>
            <w:tcW w:w="2835" w:type="dxa"/>
            <w:vAlign w:val="center"/>
          </w:tcPr>
          <w:p>
            <w:pPr>
              <w:pStyle w:val="16"/>
            </w:pPr>
            <w:r>
              <w:t>咨询评估工作的服务费用标准</w:t>
            </w:r>
          </w:p>
        </w:tc>
        <w:tc>
          <w:tcPr>
            <w:tcW w:w="2551" w:type="dxa"/>
            <w:vAlign w:val="center"/>
          </w:tcPr>
          <w:p>
            <w:pPr>
              <w:pStyle w:val="16"/>
            </w:pPr>
            <w:r>
              <w:t>按照合同约定费用标准支付</w:t>
            </w:r>
          </w:p>
        </w:tc>
        <w:tc>
          <w:tcPr>
            <w:tcW w:w="2268" w:type="dxa"/>
            <w:vAlign w:val="center"/>
          </w:tcPr>
          <w:p>
            <w:pPr>
              <w:pStyle w:val="16"/>
            </w:pPr>
            <w:r>
              <w:t>合同约定</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保障临空经济区政务服务正常开展</w:t>
            </w:r>
          </w:p>
        </w:tc>
        <w:tc>
          <w:tcPr>
            <w:tcW w:w="2835" w:type="dxa"/>
            <w:vAlign w:val="center"/>
          </w:tcPr>
          <w:p>
            <w:pPr>
              <w:pStyle w:val="16"/>
            </w:pPr>
            <w:r>
              <w:t>通过本项目实施，保障审批工作正常开展，为企业提供高效政务服务。</w:t>
            </w:r>
          </w:p>
        </w:tc>
        <w:tc>
          <w:tcPr>
            <w:tcW w:w="2551" w:type="dxa"/>
            <w:vAlign w:val="center"/>
          </w:tcPr>
          <w:p>
            <w:pPr>
              <w:pStyle w:val="16"/>
            </w:pPr>
            <w:r>
              <w:t>是</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审批部门对咨询评估服务满意度</w:t>
            </w:r>
          </w:p>
        </w:tc>
        <w:tc>
          <w:tcPr>
            <w:tcW w:w="2835" w:type="dxa"/>
            <w:vAlign w:val="center"/>
          </w:tcPr>
          <w:p>
            <w:pPr>
              <w:pStyle w:val="16"/>
            </w:pPr>
            <w:r>
              <w:t>评审服务能否验收合格</w:t>
            </w:r>
          </w:p>
        </w:tc>
        <w:tc>
          <w:tcPr>
            <w:tcW w:w="2551" w:type="dxa"/>
            <w:vAlign w:val="center"/>
          </w:tcPr>
          <w:p>
            <w:pPr>
              <w:pStyle w:val="16"/>
            </w:pPr>
            <w:r>
              <w:t>是</w:t>
            </w:r>
          </w:p>
        </w:tc>
        <w:tc>
          <w:tcPr>
            <w:tcW w:w="2268" w:type="dxa"/>
            <w:vAlign w:val="center"/>
          </w:tcPr>
          <w:p>
            <w:pPr>
              <w:pStyle w:val="16"/>
            </w:pPr>
            <w:r>
              <w:t>合同约定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24、2022年疫情防控工作经费绩效目标表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1.保障临空经济区域内疫情防控形势总体稳定。</w:t>
            </w:r>
          </w:p>
          <w:p>
            <w:pPr>
              <w:pStyle w:val="16"/>
            </w:pPr>
            <w:r>
              <w:t>2.确保依照省市政策要求，做好重点人群统计、物资储备、设备升级等疫情防控工作。</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设备升级数</w:t>
            </w:r>
          </w:p>
        </w:tc>
        <w:tc>
          <w:tcPr>
            <w:tcW w:w="2835" w:type="dxa"/>
            <w:vAlign w:val="center"/>
          </w:tcPr>
          <w:p>
            <w:pPr>
              <w:pStyle w:val="16"/>
            </w:pPr>
            <w:r>
              <w:t>测温设备升级数</w:t>
            </w:r>
          </w:p>
        </w:tc>
        <w:tc>
          <w:tcPr>
            <w:tcW w:w="2551" w:type="dxa"/>
            <w:vAlign w:val="center"/>
          </w:tcPr>
          <w:p>
            <w:pPr>
              <w:pStyle w:val="16"/>
            </w:pPr>
            <w:r>
              <w:t>≥3个</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物资质量合格率</w:t>
            </w:r>
          </w:p>
        </w:tc>
        <w:tc>
          <w:tcPr>
            <w:tcW w:w="2835" w:type="dxa"/>
            <w:vAlign w:val="center"/>
          </w:tcPr>
          <w:p>
            <w:pPr>
              <w:pStyle w:val="16"/>
            </w:pPr>
            <w:r>
              <w:t>质量合格的物资数/总物资数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物资到位及时率</w:t>
            </w:r>
          </w:p>
        </w:tc>
        <w:tc>
          <w:tcPr>
            <w:tcW w:w="2835" w:type="dxa"/>
            <w:vAlign w:val="center"/>
          </w:tcPr>
          <w:p>
            <w:pPr>
              <w:pStyle w:val="16"/>
            </w:pPr>
            <w:r>
              <w:t>及时到位的物资数/总物资数</w:t>
            </w:r>
          </w:p>
        </w:tc>
        <w:tc>
          <w:tcPr>
            <w:tcW w:w="2551" w:type="dxa"/>
            <w:vAlign w:val="center"/>
          </w:tcPr>
          <w:p>
            <w:pPr>
              <w:pStyle w:val="16"/>
            </w:pPr>
            <w:r>
              <w:t>100%</w:t>
            </w:r>
          </w:p>
        </w:tc>
        <w:tc>
          <w:tcPr>
            <w:tcW w:w="2268" w:type="dxa"/>
            <w:vAlign w:val="center"/>
          </w:tcPr>
          <w:p>
            <w:pPr>
              <w:pStyle w:val="16"/>
            </w:pPr>
            <w:r>
              <w:t>政策要求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防疫物资采购成本</w:t>
            </w:r>
          </w:p>
        </w:tc>
        <w:tc>
          <w:tcPr>
            <w:tcW w:w="2551" w:type="dxa"/>
            <w:vAlign w:val="center"/>
          </w:tcPr>
          <w:p>
            <w:pPr>
              <w:pStyle w:val="16"/>
            </w:pPr>
            <w:r>
              <w:t>≤24万元</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降低新冠肺炎感染风险</w:t>
            </w:r>
          </w:p>
        </w:tc>
        <w:tc>
          <w:tcPr>
            <w:tcW w:w="2835" w:type="dxa"/>
            <w:vAlign w:val="center"/>
          </w:tcPr>
          <w:p>
            <w:pPr>
              <w:pStyle w:val="16"/>
            </w:pPr>
            <w:r>
              <w:t>降低临空区新冠肺炎传播风险</w:t>
            </w:r>
          </w:p>
        </w:tc>
        <w:tc>
          <w:tcPr>
            <w:tcW w:w="2551" w:type="dxa"/>
            <w:vAlign w:val="center"/>
          </w:tcPr>
          <w:p>
            <w:pPr>
              <w:pStyle w:val="16"/>
            </w:pPr>
            <w:r>
              <w:t>降低</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临空各项目单位满意度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25、2022年专项债券评价项目绩效目标表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1.进一步优化临空经济区（廊坊）管委会管理运行机制，全面激发发展活力，调动全体干部职工的积极性和创造性，提高工作水平，促进临空经济区各项工作高质量发展。</w:t>
            </w:r>
          </w:p>
          <w:p>
            <w:pPr>
              <w:pStyle w:val="16"/>
            </w:pPr>
            <w:r>
              <w:t>2.进一步完善绩效考核管理体系，促进绩效考核制度更合理完善，调动全体干部职工的积极性和创造性，提高工作水平，促进临空经济区各项工作高质量发展。</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成果数量</w:t>
            </w:r>
          </w:p>
        </w:tc>
        <w:tc>
          <w:tcPr>
            <w:tcW w:w="2835" w:type="dxa"/>
            <w:vAlign w:val="center"/>
          </w:tcPr>
          <w:p>
            <w:pPr>
              <w:pStyle w:val="16"/>
            </w:pPr>
            <w:r>
              <w:t>该项目输出成果的数量</w:t>
            </w:r>
          </w:p>
        </w:tc>
        <w:tc>
          <w:tcPr>
            <w:tcW w:w="2551" w:type="dxa"/>
            <w:vAlign w:val="center"/>
          </w:tcPr>
          <w:p>
            <w:pPr>
              <w:pStyle w:val="16"/>
            </w:pPr>
            <w:r>
              <w:t>≥3个</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成果按时完成率</w:t>
            </w:r>
          </w:p>
        </w:tc>
        <w:tc>
          <w:tcPr>
            <w:tcW w:w="2835" w:type="dxa"/>
            <w:vAlign w:val="center"/>
          </w:tcPr>
          <w:p>
            <w:pPr>
              <w:pStyle w:val="16"/>
            </w:pPr>
            <w:r>
              <w:t>成果按时完成率</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绩效考核体系优化时间</w:t>
            </w:r>
          </w:p>
        </w:tc>
        <w:tc>
          <w:tcPr>
            <w:tcW w:w="2835" w:type="dxa"/>
            <w:vAlign w:val="center"/>
          </w:tcPr>
          <w:p>
            <w:pPr>
              <w:pStyle w:val="16"/>
            </w:pPr>
            <w:r>
              <w:t>绩效考核体系优化时间节点</w:t>
            </w:r>
          </w:p>
        </w:tc>
        <w:tc>
          <w:tcPr>
            <w:tcW w:w="2551" w:type="dxa"/>
            <w:vAlign w:val="center"/>
          </w:tcPr>
          <w:p>
            <w:pPr>
              <w:pStyle w:val="16"/>
            </w:pPr>
            <w:r>
              <w:t>2023年2月前</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绩效体系诊断、优化成本</w:t>
            </w:r>
          </w:p>
        </w:tc>
        <w:tc>
          <w:tcPr>
            <w:tcW w:w="2835" w:type="dxa"/>
            <w:vAlign w:val="center"/>
          </w:tcPr>
          <w:p>
            <w:pPr>
              <w:pStyle w:val="16"/>
            </w:pPr>
            <w:r>
              <w:t>绩效体系诊断、优化成本</w:t>
            </w:r>
          </w:p>
        </w:tc>
        <w:tc>
          <w:tcPr>
            <w:tcW w:w="2551" w:type="dxa"/>
            <w:vAlign w:val="center"/>
          </w:tcPr>
          <w:p>
            <w:pPr>
              <w:pStyle w:val="16"/>
            </w:pPr>
            <w:r>
              <w:t>≤56.3万元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推进临空高质量发展</w:t>
            </w:r>
          </w:p>
        </w:tc>
        <w:tc>
          <w:tcPr>
            <w:tcW w:w="2835" w:type="dxa"/>
            <w:vAlign w:val="center"/>
          </w:tcPr>
          <w:p>
            <w:pPr>
              <w:pStyle w:val="16"/>
            </w:pPr>
            <w:r>
              <w:t>推进临空高质量发展</w:t>
            </w:r>
          </w:p>
        </w:tc>
        <w:tc>
          <w:tcPr>
            <w:tcW w:w="2551" w:type="dxa"/>
            <w:vAlign w:val="center"/>
          </w:tcPr>
          <w:p>
            <w:pPr>
              <w:pStyle w:val="16"/>
            </w:pPr>
            <w:r>
              <w:t>有效</w:t>
            </w:r>
          </w:p>
        </w:tc>
        <w:tc>
          <w:tcPr>
            <w:tcW w:w="2268" w:type="dxa"/>
            <w:vAlign w:val="center"/>
          </w:tcPr>
          <w:p>
            <w:pPr>
              <w:pStyle w:val="16"/>
            </w:pPr>
            <w:r>
              <w:t>工作实际</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调动积极性和创造性</w:t>
            </w:r>
          </w:p>
        </w:tc>
        <w:tc>
          <w:tcPr>
            <w:tcW w:w="2835" w:type="dxa"/>
            <w:vAlign w:val="center"/>
          </w:tcPr>
          <w:p>
            <w:pPr>
              <w:pStyle w:val="16"/>
            </w:pPr>
            <w:r>
              <w:t>调动干部职工积极性和创造性</w:t>
            </w:r>
          </w:p>
        </w:tc>
        <w:tc>
          <w:tcPr>
            <w:tcW w:w="2551" w:type="dxa"/>
            <w:vAlign w:val="center"/>
          </w:tcPr>
          <w:p>
            <w:pPr>
              <w:pStyle w:val="16"/>
            </w:pPr>
            <w:r>
              <w:t>有效调动</w:t>
            </w:r>
          </w:p>
        </w:tc>
        <w:tc>
          <w:tcPr>
            <w:tcW w:w="2268" w:type="dxa"/>
            <w:vAlign w:val="center"/>
          </w:tcPr>
          <w:p>
            <w:pPr>
              <w:pStyle w:val="16"/>
            </w:pPr>
            <w:r>
              <w:t>工作实际</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环境保护</w:t>
            </w:r>
          </w:p>
        </w:tc>
        <w:tc>
          <w:tcPr>
            <w:tcW w:w="2835" w:type="dxa"/>
            <w:vAlign w:val="center"/>
          </w:tcPr>
          <w:p>
            <w:pPr>
              <w:pStyle w:val="16"/>
            </w:pPr>
            <w:r>
              <w:t>集中采购有利于环境保护</w:t>
            </w:r>
          </w:p>
        </w:tc>
        <w:tc>
          <w:tcPr>
            <w:tcW w:w="2551" w:type="dxa"/>
            <w:vAlign w:val="center"/>
          </w:tcPr>
          <w:p>
            <w:pPr>
              <w:pStyle w:val="16"/>
            </w:pPr>
            <w:r>
              <w:t>保护环境</w:t>
            </w:r>
          </w:p>
        </w:tc>
        <w:tc>
          <w:tcPr>
            <w:tcW w:w="2268" w:type="dxa"/>
            <w:vAlign w:val="center"/>
          </w:tcPr>
          <w:p>
            <w:pPr>
              <w:pStyle w:val="16"/>
            </w:pPr>
            <w:r>
              <w:t>工作实际</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持续保障服务</w:t>
            </w:r>
          </w:p>
        </w:tc>
        <w:tc>
          <w:tcPr>
            <w:tcW w:w="2835" w:type="dxa"/>
            <w:vAlign w:val="center"/>
          </w:tcPr>
          <w:p>
            <w:pPr>
              <w:pStyle w:val="16"/>
            </w:pPr>
            <w:r>
              <w:t>持续保障服务</w:t>
            </w:r>
          </w:p>
        </w:tc>
        <w:tc>
          <w:tcPr>
            <w:tcW w:w="2551" w:type="dxa"/>
            <w:vAlign w:val="center"/>
          </w:tcPr>
          <w:p>
            <w:pPr>
              <w:pStyle w:val="16"/>
            </w:pPr>
            <w:r>
              <w:t>持续性</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实际情况</w:t>
            </w:r>
          </w:p>
          <w:p>
            <w:pPr>
              <w:pStyle w:val="16"/>
            </w:pPr>
            <w:r>
              <w:t>保障服务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26、2022年综保区运营维工作经费绩效目标表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1.做好“一个机构、三方参与，一个平台、协商分配”的京冀协调发展战略，保障北京大兴国际机场综合保税区封关验收完成后综保区封关验收后高效运行。</w:t>
            </w:r>
          </w:p>
          <w:p>
            <w:pPr>
              <w:pStyle w:val="16"/>
            </w:pPr>
            <w:r>
              <w:t>2.通过为海关提供协勤、保安、办公设施管理等服务，保障海关综保区监管业务正常进行。</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2"/>
        <w:gridCol w:w="1500"/>
        <w:gridCol w:w="2243"/>
        <w:gridCol w:w="4459"/>
        <w:gridCol w:w="1850"/>
        <w:gridCol w:w="3082"/>
      </w:tblGrid>
      <w:tr>
        <w:trPr>
          <w:trHeight w:val="397" w:hRule="atLeast"/>
          <w:tblHeader/>
          <w:jc w:val="center"/>
        </w:trPr>
        <w:tc>
          <w:tcPr>
            <w:tcW w:w="1662" w:type="dxa"/>
            <w:vAlign w:val="center"/>
          </w:tcPr>
          <w:p>
            <w:pPr>
              <w:pStyle w:val="14"/>
            </w:pPr>
            <w:r>
              <w:t>一级指标</w:t>
            </w:r>
          </w:p>
        </w:tc>
        <w:tc>
          <w:tcPr>
            <w:tcW w:w="1500" w:type="dxa"/>
            <w:vAlign w:val="center"/>
          </w:tcPr>
          <w:p>
            <w:pPr>
              <w:pStyle w:val="14"/>
            </w:pPr>
            <w:r>
              <w:t>二级指标</w:t>
            </w:r>
          </w:p>
        </w:tc>
        <w:tc>
          <w:tcPr>
            <w:tcW w:w="2243" w:type="dxa"/>
            <w:vAlign w:val="center"/>
          </w:tcPr>
          <w:p>
            <w:pPr>
              <w:pStyle w:val="14"/>
            </w:pPr>
            <w:r>
              <w:t>三级指标</w:t>
            </w:r>
          </w:p>
        </w:tc>
        <w:tc>
          <w:tcPr>
            <w:tcW w:w="4459" w:type="dxa"/>
            <w:vAlign w:val="center"/>
          </w:tcPr>
          <w:p>
            <w:pPr>
              <w:pStyle w:val="14"/>
            </w:pPr>
            <w:r>
              <w:t>绩效指标描述</w:t>
            </w:r>
          </w:p>
        </w:tc>
        <w:tc>
          <w:tcPr>
            <w:tcW w:w="1850" w:type="dxa"/>
            <w:vAlign w:val="center"/>
          </w:tcPr>
          <w:p>
            <w:pPr>
              <w:pStyle w:val="14"/>
            </w:pPr>
            <w:r>
              <w:t>指标值</w:t>
            </w:r>
          </w:p>
        </w:tc>
        <w:tc>
          <w:tcPr>
            <w:tcW w:w="3082" w:type="dxa"/>
            <w:vAlign w:val="center"/>
          </w:tcPr>
          <w:p>
            <w:pPr>
              <w:pStyle w:val="14"/>
            </w:pPr>
            <w:r>
              <w:t>指标值确定依据</w:t>
            </w:r>
          </w:p>
        </w:tc>
      </w:tr>
      <w:tr>
        <w:trPr>
          <w:trHeight w:val="397" w:hRule="atLeast"/>
          <w:jc w:val="center"/>
        </w:trPr>
        <w:tc>
          <w:tcPr>
            <w:tcW w:w="1662" w:type="dxa"/>
            <w:vMerge w:val="restart"/>
            <w:vAlign w:val="center"/>
          </w:tcPr>
          <w:p>
            <w:pPr>
              <w:pStyle w:val="17"/>
            </w:pPr>
            <w:r>
              <w:t>产出指标</w:t>
            </w:r>
          </w:p>
        </w:tc>
        <w:tc>
          <w:tcPr>
            <w:tcW w:w="1500" w:type="dxa"/>
            <w:vAlign w:val="center"/>
          </w:tcPr>
          <w:p>
            <w:pPr>
              <w:pStyle w:val="16"/>
            </w:pPr>
            <w:r>
              <w:t>数量指标</w:t>
            </w:r>
          </w:p>
        </w:tc>
        <w:tc>
          <w:tcPr>
            <w:tcW w:w="2243" w:type="dxa"/>
            <w:vAlign w:val="center"/>
          </w:tcPr>
          <w:p>
            <w:pPr>
              <w:pStyle w:val="16"/>
            </w:pPr>
            <w:r>
              <w:t>协勤保障人数</w:t>
            </w:r>
          </w:p>
        </w:tc>
        <w:tc>
          <w:tcPr>
            <w:tcW w:w="4459" w:type="dxa"/>
            <w:vAlign w:val="center"/>
          </w:tcPr>
          <w:p>
            <w:pPr>
              <w:pStyle w:val="16"/>
            </w:pPr>
            <w:r>
              <w:t>按照海关初步要求并参考天竺综保区协勤用工标准</w:t>
            </w:r>
          </w:p>
        </w:tc>
        <w:tc>
          <w:tcPr>
            <w:tcW w:w="1850" w:type="dxa"/>
            <w:vAlign w:val="center"/>
          </w:tcPr>
          <w:p>
            <w:pPr>
              <w:pStyle w:val="16"/>
            </w:pPr>
            <w:r>
              <w:t>≥45人</w:t>
            </w:r>
          </w:p>
        </w:tc>
        <w:tc>
          <w:tcPr>
            <w:tcW w:w="3082" w:type="dxa"/>
            <w:vAlign w:val="center"/>
          </w:tcPr>
          <w:p>
            <w:pPr>
              <w:pStyle w:val="16"/>
            </w:pPr>
            <w:r>
              <w:t>按照北京海关初步要求</w:t>
            </w:r>
          </w:p>
        </w:tc>
      </w:tr>
      <w:tr>
        <w:trPr>
          <w:trHeight w:val="397" w:hRule="atLeast"/>
          <w:jc w:val="center"/>
        </w:trPr>
        <w:tc>
          <w:tcPr>
            <w:tcW w:w="1662" w:type="dxa"/>
            <w:vMerge w:val="continue"/>
            <w:vAlign w:val="center"/>
          </w:tcPr>
          <w:p/>
        </w:tc>
        <w:tc>
          <w:tcPr>
            <w:tcW w:w="1500" w:type="dxa"/>
            <w:vAlign w:val="center"/>
          </w:tcPr>
          <w:p>
            <w:pPr>
              <w:pStyle w:val="16"/>
            </w:pPr>
            <w:r>
              <w:t>数量指标</w:t>
            </w:r>
          </w:p>
        </w:tc>
        <w:tc>
          <w:tcPr>
            <w:tcW w:w="2243" w:type="dxa"/>
            <w:vAlign w:val="center"/>
          </w:tcPr>
          <w:p>
            <w:pPr>
              <w:pStyle w:val="16"/>
            </w:pPr>
            <w:r>
              <w:t>安保人数</w:t>
            </w:r>
          </w:p>
        </w:tc>
        <w:tc>
          <w:tcPr>
            <w:tcW w:w="4459" w:type="dxa"/>
            <w:vAlign w:val="center"/>
          </w:tcPr>
          <w:p>
            <w:pPr>
              <w:pStyle w:val="16"/>
            </w:pPr>
            <w:r>
              <w:t>按照海关初步要求并参考天竺综保区协勤用工标准</w:t>
            </w:r>
          </w:p>
        </w:tc>
        <w:tc>
          <w:tcPr>
            <w:tcW w:w="1850" w:type="dxa"/>
            <w:vAlign w:val="center"/>
          </w:tcPr>
          <w:p>
            <w:pPr>
              <w:pStyle w:val="16"/>
            </w:pPr>
            <w:r>
              <w:t>≥27人</w:t>
            </w:r>
          </w:p>
        </w:tc>
        <w:tc>
          <w:tcPr>
            <w:tcW w:w="3082" w:type="dxa"/>
            <w:vAlign w:val="center"/>
          </w:tcPr>
          <w:p>
            <w:pPr>
              <w:pStyle w:val="16"/>
            </w:pPr>
            <w:r>
              <w:t>《北京市安保服务质量标准》</w:t>
            </w:r>
          </w:p>
        </w:tc>
      </w:tr>
      <w:tr>
        <w:trPr>
          <w:trHeight w:val="397" w:hRule="atLeast"/>
          <w:jc w:val="center"/>
        </w:trPr>
        <w:tc>
          <w:tcPr>
            <w:tcW w:w="1662" w:type="dxa"/>
            <w:vMerge w:val="continue"/>
            <w:vAlign w:val="center"/>
          </w:tcPr>
          <w:p/>
        </w:tc>
        <w:tc>
          <w:tcPr>
            <w:tcW w:w="1500" w:type="dxa"/>
            <w:vAlign w:val="center"/>
          </w:tcPr>
          <w:p>
            <w:pPr>
              <w:pStyle w:val="16"/>
            </w:pPr>
            <w:r>
              <w:t>数量指标</w:t>
            </w:r>
          </w:p>
        </w:tc>
        <w:tc>
          <w:tcPr>
            <w:tcW w:w="2243" w:type="dxa"/>
            <w:vAlign w:val="center"/>
          </w:tcPr>
          <w:p>
            <w:pPr>
              <w:pStyle w:val="16"/>
            </w:pPr>
            <w:r>
              <w:t>办公设施管理点位数</w:t>
            </w:r>
          </w:p>
        </w:tc>
        <w:tc>
          <w:tcPr>
            <w:tcW w:w="4459" w:type="dxa"/>
            <w:vAlign w:val="center"/>
          </w:tcPr>
          <w:p>
            <w:pPr>
              <w:pStyle w:val="16"/>
            </w:pPr>
            <w:r>
              <w:t>合理的办公设施点位设置全方位服务好入区企业</w:t>
            </w:r>
          </w:p>
        </w:tc>
        <w:tc>
          <w:tcPr>
            <w:tcW w:w="1850" w:type="dxa"/>
            <w:vAlign w:val="center"/>
          </w:tcPr>
          <w:p>
            <w:pPr>
              <w:pStyle w:val="16"/>
            </w:pPr>
            <w:r>
              <w:t>7个</w:t>
            </w:r>
          </w:p>
        </w:tc>
        <w:tc>
          <w:tcPr>
            <w:tcW w:w="3082" w:type="dxa"/>
            <w:vAlign w:val="center"/>
          </w:tcPr>
          <w:p>
            <w:pPr>
              <w:pStyle w:val="16"/>
            </w:pPr>
            <w:r>
              <w:t>《北京市物业管理条例》</w:t>
            </w:r>
          </w:p>
        </w:tc>
      </w:tr>
      <w:tr>
        <w:trPr>
          <w:trHeight w:val="397" w:hRule="atLeast"/>
          <w:jc w:val="center"/>
        </w:trPr>
        <w:tc>
          <w:tcPr>
            <w:tcW w:w="1662" w:type="dxa"/>
            <w:vMerge w:val="continue"/>
            <w:vAlign w:val="center"/>
          </w:tcPr>
          <w:p/>
        </w:tc>
        <w:tc>
          <w:tcPr>
            <w:tcW w:w="1500" w:type="dxa"/>
            <w:vAlign w:val="center"/>
          </w:tcPr>
          <w:p>
            <w:pPr>
              <w:pStyle w:val="16"/>
            </w:pPr>
            <w:r>
              <w:t>质量指标</w:t>
            </w:r>
          </w:p>
        </w:tc>
        <w:tc>
          <w:tcPr>
            <w:tcW w:w="2243" w:type="dxa"/>
            <w:vAlign w:val="center"/>
          </w:tcPr>
          <w:p>
            <w:pPr>
              <w:pStyle w:val="16"/>
            </w:pPr>
            <w:r>
              <w:t>服务人员出勤率</w:t>
            </w:r>
          </w:p>
        </w:tc>
        <w:tc>
          <w:tcPr>
            <w:tcW w:w="4459" w:type="dxa"/>
            <w:vAlign w:val="center"/>
          </w:tcPr>
          <w:p>
            <w:pPr>
              <w:pStyle w:val="16"/>
            </w:pPr>
            <w:r>
              <w:t>北京大兴综保区服务人员符合工作出勤标准</w:t>
            </w:r>
          </w:p>
        </w:tc>
        <w:tc>
          <w:tcPr>
            <w:tcW w:w="1850" w:type="dxa"/>
            <w:vAlign w:val="center"/>
          </w:tcPr>
          <w:p>
            <w:pPr>
              <w:pStyle w:val="16"/>
            </w:pPr>
            <w:r>
              <w:t>≥98%</w:t>
            </w:r>
          </w:p>
        </w:tc>
        <w:tc>
          <w:tcPr>
            <w:tcW w:w="3082" w:type="dxa"/>
            <w:vAlign w:val="center"/>
          </w:tcPr>
          <w:p>
            <w:pPr>
              <w:pStyle w:val="16"/>
            </w:pPr>
            <w:r>
              <w:t>《北京市物业管理条例》</w:t>
            </w:r>
          </w:p>
        </w:tc>
      </w:tr>
      <w:tr>
        <w:trPr>
          <w:trHeight w:val="397" w:hRule="atLeast"/>
          <w:jc w:val="center"/>
        </w:trPr>
        <w:tc>
          <w:tcPr>
            <w:tcW w:w="1662" w:type="dxa"/>
            <w:vMerge w:val="continue"/>
            <w:vAlign w:val="center"/>
          </w:tcPr>
          <w:p/>
        </w:tc>
        <w:tc>
          <w:tcPr>
            <w:tcW w:w="1500" w:type="dxa"/>
            <w:vAlign w:val="center"/>
          </w:tcPr>
          <w:p>
            <w:pPr>
              <w:pStyle w:val="16"/>
            </w:pPr>
            <w:r>
              <w:t>时效指标</w:t>
            </w:r>
          </w:p>
        </w:tc>
        <w:tc>
          <w:tcPr>
            <w:tcW w:w="2243" w:type="dxa"/>
            <w:vAlign w:val="center"/>
          </w:tcPr>
          <w:p>
            <w:pPr>
              <w:pStyle w:val="16"/>
            </w:pPr>
            <w:r>
              <w:t>服务响应效率</w:t>
            </w:r>
          </w:p>
        </w:tc>
        <w:tc>
          <w:tcPr>
            <w:tcW w:w="4459" w:type="dxa"/>
            <w:vAlign w:val="center"/>
          </w:tcPr>
          <w:p>
            <w:pPr>
              <w:pStyle w:val="16"/>
            </w:pPr>
            <w:r>
              <w:t>服务人员达到入区企业、入区工作人员的认可</w:t>
            </w:r>
          </w:p>
        </w:tc>
        <w:tc>
          <w:tcPr>
            <w:tcW w:w="1850" w:type="dxa"/>
            <w:vAlign w:val="center"/>
          </w:tcPr>
          <w:p>
            <w:pPr>
              <w:pStyle w:val="16"/>
            </w:pPr>
            <w:r>
              <w:t>24小时</w:t>
            </w:r>
          </w:p>
        </w:tc>
        <w:tc>
          <w:tcPr>
            <w:tcW w:w="3082" w:type="dxa"/>
            <w:vAlign w:val="center"/>
          </w:tcPr>
          <w:p>
            <w:pPr>
              <w:pStyle w:val="16"/>
            </w:pPr>
            <w:r>
              <w:t>《北京市物业管理条例》</w:t>
            </w:r>
          </w:p>
        </w:tc>
      </w:tr>
      <w:tr>
        <w:trPr>
          <w:trHeight w:val="397" w:hRule="atLeast"/>
          <w:jc w:val="center"/>
        </w:trPr>
        <w:tc>
          <w:tcPr>
            <w:tcW w:w="1662" w:type="dxa"/>
            <w:vMerge w:val="continue"/>
            <w:vAlign w:val="center"/>
          </w:tcPr>
          <w:p/>
        </w:tc>
        <w:tc>
          <w:tcPr>
            <w:tcW w:w="1500" w:type="dxa"/>
            <w:vAlign w:val="center"/>
          </w:tcPr>
          <w:p>
            <w:pPr>
              <w:pStyle w:val="16"/>
            </w:pPr>
            <w:r>
              <w:t>成本指标</w:t>
            </w:r>
          </w:p>
        </w:tc>
        <w:tc>
          <w:tcPr>
            <w:tcW w:w="2243" w:type="dxa"/>
            <w:vAlign w:val="center"/>
          </w:tcPr>
          <w:p>
            <w:pPr>
              <w:pStyle w:val="16"/>
            </w:pPr>
            <w:r>
              <w:t>协勤人员成本</w:t>
            </w:r>
          </w:p>
        </w:tc>
        <w:tc>
          <w:tcPr>
            <w:tcW w:w="4459" w:type="dxa"/>
            <w:vAlign w:val="center"/>
          </w:tcPr>
          <w:p>
            <w:pPr>
              <w:pStyle w:val="16"/>
            </w:pPr>
            <w:r>
              <w:t>按照海关初步要求并参考天竺综保区协勤用工标准</w:t>
            </w:r>
          </w:p>
        </w:tc>
        <w:tc>
          <w:tcPr>
            <w:tcW w:w="1850" w:type="dxa"/>
            <w:vAlign w:val="center"/>
          </w:tcPr>
          <w:p>
            <w:pPr>
              <w:pStyle w:val="16"/>
            </w:pPr>
            <w:r>
              <w:t>10000元/人/月</w:t>
            </w:r>
          </w:p>
        </w:tc>
        <w:tc>
          <w:tcPr>
            <w:tcW w:w="3082" w:type="dxa"/>
            <w:vAlign w:val="center"/>
          </w:tcPr>
          <w:p>
            <w:pPr>
              <w:pStyle w:val="16"/>
            </w:pPr>
            <w:r>
              <w:t>按照北京海关初步要求</w:t>
            </w:r>
          </w:p>
        </w:tc>
      </w:tr>
      <w:tr>
        <w:trPr>
          <w:trHeight w:val="397" w:hRule="atLeast"/>
          <w:jc w:val="center"/>
        </w:trPr>
        <w:tc>
          <w:tcPr>
            <w:tcW w:w="1662" w:type="dxa"/>
            <w:vMerge w:val="continue"/>
            <w:vAlign w:val="center"/>
          </w:tcPr>
          <w:p/>
        </w:tc>
        <w:tc>
          <w:tcPr>
            <w:tcW w:w="1500" w:type="dxa"/>
            <w:vAlign w:val="center"/>
          </w:tcPr>
          <w:p>
            <w:pPr>
              <w:pStyle w:val="16"/>
            </w:pPr>
            <w:r>
              <w:t>成本指标</w:t>
            </w:r>
          </w:p>
        </w:tc>
        <w:tc>
          <w:tcPr>
            <w:tcW w:w="2243" w:type="dxa"/>
            <w:vAlign w:val="center"/>
          </w:tcPr>
          <w:p>
            <w:pPr>
              <w:pStyle w:val="16"/>
            </w:pPr>
            <w:r>
              <w:t>安保人员成本</w:t>
            </w:r>
          </w:p>
        </w:tc>
        <w:tc>
          <w:tcPr>
            <w:tcW w:w="4459" w:type="dxa"/>
            <w:vAlign w:val="center"/>
          </w:tcPr>
          <w:p>
            <w:pPr>
              <w:pStyle w:val="16"/>
            </w:pPr>
            <w:r>
              <w:t>按照海关初步要求并参考天竺综保区协勤用工标准</w:t>
            </w:r>
          </w:p>
        </w:tc>
        <w:tc>
          <w:tcPr>
            <w:tcW w:w="1850" w:type="dxa"/>
            <w:vAlign w:val="center"/>
          </w:tcPr>
          <w:p>
            <w:pPr>
              <w:pStyle w:val="16"/>
            </w:pPr>
            <w:r>
              <w:t>≤6000元/人/月</w:t>
            </w:r>
          </w:p>
        </w:tc>
        <w:tc>
          <w:tcPr>
            <w:tcW w:w="3082" w:type="dxa"/>
            <w:vAlign w:val="center"/>
          </w:tcPr>
          <w:p>
            <w:pPr>
              <w:pStyle w:val="16"/>
            </w:pPr>
            <w:r>
              <w:t>《北京市安保服务质量标准》</w:t>
            </w:r>
          </w:p>
        </w:tc>
      </w:tr>
      <w:tr>
        <w:trPr>
          <w:trHeight w:val="397" w:hRule="atLeast"/>
          <w:jc w:val="center"/>
        </w:trPr>
        <w:tc>
          <w:tcPr>
            <w:tcW w:w="1662" w:type="dxa"/>
            <w:vMerge w:val="restart"/>
            <w:vAlign w:val="center"/>
          </w:tcPr>
          <w:p>
            <w:pPr>
              <w:pStyle w:val="17"/>
            </w:pPr>
            <w:r>
              <w:t>效益指标</w:t>
            </w:r>
          </w:p>
        </w:tc>
        <w:tc>
          <w:tcPr>
            <w:tcW w:w="1500" w:type="dxa"/>
            <w:vAlign w:val="center"/>
          </w:tcPr>
          <w:p>
            <w:pPr>
              <w:pStyle w:val="16"/>
            </w:pPr>
            <w:r>
              <w:t>可持续影响指标</w:t>
            </w:r>
          </w:p>
        </w:tc>
        <w:tc>
          <w:tcPr>
            <w:tcW w:w="2243" w:type="dxa"/>
            <w:vAlign w:val="center"/>
          </w:tcPr>
          <w:p>
            <w:pPr>
              <w:pStyle w:val="16"/>
            </w:pPr>
            <w:r>
              <w:t>经济增长</w:t>
            </w:r>
          </w:p>
        </w:tc>
        <w:tc>
          <w:tcPr>
            <w:tcW w:w="4459" w:type="dxa"/>
            <w:vAlign w:val="center"/>
          </w:tcPr>
          <w:p>
            <w:pPr>
              <w:pStyle w:val="16"/>
            </w:pPr>
            <w:r>
              <w:t>带动京冀协同发展，经济稳步增长</w:t>
            </w:r>
          </w:p>
        </w:tc>
        <w:tc>
          <w:tcPr>
            <w:tcW w:w="1850" w:type="dxa"/>
            <w:vAlign w:val="center"/>
          </w:tcPr>
          <w:p>
            <w:pPr>
              <w:pStyle w:val="16"/>
            </w:pPr>
            <w:r>
              <w:t>≥95%</w:t>
            </w:r>
          </w:p>
        </w:tc>
        <w:tc>
          <w:tcPr>
            <w:tcW w:w="3082" w:type="dxa"/>
            <w:vAlign w:val="center"/>
          </w:tcPr>
          <w:p>
            <w:pPr>
              <w:pStyle w:val="16"/>
            </w:pPr>
            <w:r>
              <w:t>《关于北京大兴国际机场临空经济区京冀联合工作领导小组第二次会议纪要》</w:t>
            </w:r>
          </w:p>
        </w:tc>
      </w:tr>
      <w:tr>
        <w:trPr>
          <w:trHeight w:val="397" w:hRule="atLeast"/>
          <w:jc w:val="center"/>
        </w:trPr>
        <w:tc>
          <w:tcPr>
            <w:tcW w:w="1662" w:type="dxa"/>
            <w:vMerge w:val="continue"/>
            <w:vAlign w:val="center"/>
          </w:tcPr>
          <w:p/>
        </w:tc>
        <w:tc>
          <w:tcPr>
            <w:tcW w:w="1500" w:type="dxa"/>
            <w:vAlign w:val="center"/>
          </w:tcPr>
          <w:p>
            <w:pPr>
              <w:pStyle w:val="16"/>
            </w:pPr>
            <w:r>
              <w:t>经济效益指标</w:t>
            </w:r>
          </w:p>
        </w:tc>
        <w:tc>
          <w:tcPr>
            <w:tcW w:w="2243" w:type="dxa"/>
            <w:vAlign w:val="center"/>
          </w:tcPr>
          <w:p>
            <w:pPr>
              <w:pStyle w:val="16"/>
            </w:pPr>
            <w:r>
              <w:t>为海关对综保区日常监管提供保障</w:t>
            </w:r>
          </w:p>
        </w:tc>
        <w:tc>
          <w:tcPr>
            <w:tcW w:w="4459" w:type="dxa"/>
            <w:vAlign w:val="center"/>
          </w:tcPr>
          <w:p>
            <w:pPr>
              <w:pStyle w:val="16"/>
            </w:pPr>
            <w:r>
              <w:t>保障北京大兴综合保税区稳步运行</w:t>
            </w:r>
          </w:p>
        </w:tc>
        <w:tc>
          <w:tcPr>
            <w:tcW w:w="1850" w:type="dxa"/>
            <w:vAlign w:val="center"/>
          </w:tcPr>
          <w:p>
            <w:pPr>
              <w:pStyle w:val="16"/>
            </w:pPr>
            <w:r>
              <w:t>达到预期目标</w:t>
            </w:r>
          </w:p>
        </w:tc>
        <w:tc>
          <w:tcPr>
            <w:tcW w:w="3082" w:type="dxa"/>
            <w:vAlign w:val="center"/>
          </w:tcPr>
          <w:p>
            <w:pPr>
              <w:pStyle w:val="16"/>
            </w:pPr>
            <w:r>
              <w:t>《关于北京大兴国际机场临空经济区京冀联合工作领导小组第二次会议纪要》</w:t>
            </w:r>
          </w:p>
        </w:tc>
      </w:tr>
      <w:tr>
        <w:trPr>
          <w:trHeight w:val="397" w:hRule="atLeast"/>
          <w:jc w:val="center"/>
        </w:trPr>
        <w:tc>
          <w:tcPr>
            <w:tcW w:w="1662" w:type="dxa"/>
            <w:vAlign w:val="center"/>
          </w:tcPr>
          <w:p>
            <w:pPr>
              <w:pStyle w:val="17"/>
            </w:pPr>
            <w:r>
              <w:t>满意度指标</w:t>
            </w:r>
          </w:p>
        </w:tc>
        <w:tc>
          <w:tcPr>
            <w:tcW w:w="1500" w:type="dxa"/>
            <w:vAlign w:val="center"/>
          </w:tcPr>
          <w:p>
            <w:pPr>
              <w:pStyle w:val="16"/>
            </w:pPr>
            <w:r>
              <w:t>服务对象满意度指标</w:t>
            </w:r>
          </w:p>
        </w:tc>
        <w:tc>
          <w:tcPr>
            <w:tcW w:w="2243" w:type="dxa"/>
            <w:vAlign w:val="center"/>
          </w:tcPr>
          <w:p>
            <w:pPr>
              <w:pStyle w:val="16"/>
            </w:pPr>
            <w:r>
              <w:t>海关满意度</w:t>
            </w:r>
          </w:p>
        </w:tc>
        <w:tc>
          <w:tcPr>
            <w:tcW w:w="4459" w:type="dxa"/>
            <w:vAlign w:val="center"/>
          </w:tcPr>
          <w:p>
            <w:pPr>
              <w:pStyle w:val="16"/>
            </w:pPr>
            <w:r>
              <w:t>为北京海关提供合格的办公产所和监管配套措施，保障协同发展</w:t>
            </w:r>
          </w:p>
        </w:tc>
        <w:tc>
          <w:tcPr>
            <w:tcW w:w="1850" w:type="dxa"/>
            <w:vAlign w:val="center"/>
          </w:tcPr>
          <w:p>
            <w:pPr>
              <w:pStyle w:val="16"/>
            </w:pPr>
            <w:r>
              <w:t>≥95%</w:t>
            </w:r>
          </w:p>
        </w:tc>
        <w:tc>
          <w:tcPr>
            <w:tcW w:w="3082" w:type="dxa"/>
            <w:vAlign w:val="center"/>
          </w:tcPr>
          <w:p>
            <w:pPr>
              <w:pStyle w:val="16"/>
            </w:pPr>
            <w:r>
              <w:t>海关总署《关于综合保税区验收有关工作的通知》（署贸函〔2019〕209号）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27、2022年综合执法队工作提升资金项目-巡查工作经费绩效目标表</w:t>
      </w:r>
    </w:p>
    <w:tbl>
      <w:tblPr>
        <w:tblStyle w:val="8"/>
        <w:tblW w:w="14169"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37"/>
        <w:gridCol w:w="12332"/>
      </w:tblGrid>
      <w:tr>
        <w:trPr>
          <w:trHeight w:val="397" w:hRule="atLeast"/>
          <w:jc w:val="center"/>
        </w:trPr>
        <w:tc>
          <w:tcPr>
            <w:tcW w:w="1837"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1.协助廊坊临空经济区综合执法局实现临空经济区企业安全生产监管体系建设规范有序，开展各类安全管理活动，提升临空经济区综合执法局管理水平，降低事故发生率，完成2023年度安全生产目标。</w:t>
            </w:r>
          </w:p>
          <w:p>
            <w:pPr>
              <w:pStyle w:val="16"/>
            </w:pPr>
            <w:r>
              <w:t>2.租赁社会车辆，是城市管理执法工作的物质基础，是城市管理执法队伍建设的重要组成部分，通过租赁社会车辆保障了综合执法局工作的顺利实施，确保圆满完成2023年度工作任务。</w:t>
            </w:r>
            <w:r>
              <w:tab/>
            </w:r>
            <w:r>
              <w:tab/>
            </w:r>
            <w:r>
              <w:tab/>
            </w:r>
            <w:r>
              <w:tab/>
            </w:r>
            <w:r>
              <w:tab/>
            </w:r>
            <w:r>
              <w:tab/>
            </w:r>
          </w:p>
          <w:p>
            <w:pPr>
              <w:pStyle w:val="16"/>
            </w:pP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向社会采购车辆租赁服务</w:t>
            </w:r>
          </w:p>
        </w:tc>
        <w:tc>
          <w:tcPr>
            <w:tcW w:w="2835" w:type="dxa"/>
            <w:vAlign w:val="center"/>
          </w:tcPr>
          <w:p>
            <w:pPr>
              <w:pStyle w:val="16"/>
            </w:pPr>
            <w:r>
              <w:t>向社会采购车辆租赁服务</w:t>
            </w:r>
          </w:p>
        </w:tc>
        <w:tc>
          <w:tcPr>
            <w:tcW w:w="2551" w:type="dxa"/>
            <w:vAlign w:val="center"/>
          </w:tcPr>
          <w:p>
            <w:pPr>
              <w:pStyle w:val="16"/>
            </w:pPr>
            <w:r>
              <w:t>8辆</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服务及时完成数量/总服务数量*100%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控制支付的总费用</w:t>
            </w:r>
          </w:p>
        </w:tc>
        <w:tc>
          <w:tcPr>
            <w:tcW w:w="2551" w:type="dxa"/>
            <w:vAlign w:val="center"/>
          </w:tcPr>
          <w:p>
            <w:pPr>
              <w:pStyle w:val="16"/>
            </w:pPr>
            <w:r>
              <w:t>≤53.59万元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tc>
        <w:tc>
          <w:tcPr>
            <w:tcW w:w="2835" w:type="dxa"/>
            <w:vAlign w:val="center"/>
          </w:tcPr>
          <w:p>
            <w:pPr>
              <w:pStyle w:val="16"/>
            </w:pPr>
            <w:r>
              <w:t>提升临空经济区管理水平</w:t>
            </w:r>
          </w:p>
        </w:tc>
        <w:tc>
          <w:tcPr>
            <w:tcW w:w="2551" w:type="dxa"/>
            <w:vAlign w:val="center"/>
          </w:tcPr>
          <w:p>
            <w:pPr>
              <w:pStyle w:val="16"/>
            </w:pPr>
            <w:r>
              <w:t>提升</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调查中满意服务人员/服务人员总数*100%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28、2022年综合执法队伍工作提升资金-办公耗材购置绩效目标表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1.围绕“建设世界一流航空城”的总体目标，在营造临空经济区整洁优美的城市环境和浓厚的文化氛围，改善城市形象。</w:t>
            </w:r>
          </w:p>
          <w:p>
            <w:pPr>
              <w:pStyle w:val="16"/>
            </w:pPr>
            <w:r>
              <w:t>2.通过项目的开展，完成印制安全生产、土地执法宣传册2800册，安全生产宣传条幅100条，安全生产、土地执法宣传展板65块，安全生产普法活动1次，安全生产资料质量合格率100%，成本控制在预算范围内，增强群众法治观念。</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对讲机数量</w:t>
            </w:r>
          </w:p>
        </w:tc>
        <w:tc>
          <w:tcPr>
            <w:tcW w:w="2835" w:type="dxa"/>
            <w:vAlign w:val="center"/>
          </w:tcPr>
          <w:p>
            <w:pPr>
              <w:pStyle w:val="16"/>
            </w:pPr>
            <w:r>
              <w:t>提高执法管理水平</w:t>
            </w:r>
          </w:p>
        </w:tc>
        <w:tc>
          <w:tcPr>
            <w:tcW w:w="2551" w:type="dxa"/>
            <w:vAlign w:val="center"/>
          </w:tcPr>
          <w:p>
            <w:pPr>
              <w:pStyle w:val="16"/>
            </w:pPr>
            <w:r>
              <w:t>≥15个</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执法记录仪</w:t>
            </w:r>
          </w:p>
        </w:tc>
        <w:tc>
          <w:tcPr>
            <w:tcW w:w="2835" w:type="dxa"/>
            <w:vAlign w:val="center"/>
          </w:tcPr>
          <w:p>
            <w:pPr>
              <w:pStyle w:val="16"/>
            </w:pPr>
            <w:r>
              <w:t>便于开展执法工作</w:t>
            </w:r>
          </w:p>
        </w:tc>
        <w:tc>
          <w:tcPr>
            <w:tcW w:w="2551" w:type="dxa"/>
            <w:vAlign w:val="center"/>
          </w:tcPr>
          <w:p>
            <w:pPr>
              <w:pStyle w:val="16"/>
            </w:pPr>
            <w:r>
              <w:t>≥18台</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刷卡机数量</w:t>
            </w:r>
          </w:p>
        </w:tc>
        <w:tc>
          <w:tcPr>
            <w:tcW w:w="2835" w:type="dxa"/>
            <w:vAlign w:val="center"/>
          </w:tcPr>
          <w:p>
            <w:pPr>
              <w:pStyle w:val="16"/>
            </w:pPr>
            <w:r>
              <w:t>保障综合执法局正常开展工作</w:t>
            </w:r>
          </w:p>
        </w:tc>
        <w:tc>
          <w:tcPr>
            <w:tcW w:w="2551" w:type="dxa"/>
            <w:vAlign w:val="center"/>
          </w:tcPr>
          <w:p>
            <w:pPr>
              <w:pStyle w:val="16"/>
            </w:pPr>
            <w:r>
              <w:t>≥1台</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办公耗材</w:t>
            </w:r>
          </w:p>
        </w:tc>
        <w:tc>
          <w:tcPr>
            <w:tcW w:w="2835" w:type="dxa"/>
            <w:vAlign w:val="center"/>
          </w:tcPr>
          <w:p>
            <w:pPr>
              <w:pStyle w:val="16"/>
            </w:pPr>
            <w:r>
              <w:t>彩色硒鼓耗材</w:t>
            </w:r>
          </w:p>
        </w:tc>
        <w:tc>
          <w:tcPr>
            <w:tcW w:w="2551" w:type="dxa"/>
            <w:vAlign w:val="center"/>
          </w:tcPr>
          <w:p>
            <w:pPr>
              <w:pStyle w:val="16"/>
            </w:pPr>
            <w:r>
              <w:t>≥80支</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办公耗材</w:t>
            </w:r>
          </w:p>
        </w:tc>
        <w:tc>
          <w:tcPr>
            <w:tcW w:w="2835" w:type="dxa"/>
            <w:vAlign w:val="center"/>
          </w:tcPr>
          <w:p>
            <w:pPr>
              <w:pStyle w:val="16"/>
            </w:pPr>
            <w:r>
              <w:t>黑白硒鼓耗材</w:t>
            </w:r>
          </w:p>
        </w:tc>
        <w:tc>
          <w:tcPr>
            <w:tcW w:w="2551" w:type="dxa"/>
            <w:vAlign w:val="center"/>
          </w:tcPr>
          <w:p>
            <w:pPr>
              <w:pStyle w:val="16"/>
            </w:pPr>
            <w:r>
              <w:t>≥185套</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办公耗材</w:t>
            </w:r>
          </w:p>
        </w:tc>
        <w:tc>
          <w:tcPr>
            <w:tcW w:w="2835" w:type="dxa"/>
            <w:vAlign w:val="center"/>
          </w:tcPr>
          <w:p>
            <w:pPr>
              <w:pStyle w:val="16"/>
            </w:pPr>
            <w:r>
              <w:t>移动扩音设备</w:t>
            </w:r>
          </w:p>
        </w:tc>
        <w:tc>
          <w:tcPr>
            <w:tcW w:w="2551" w:type="dxa"/>
            <w:vAlign w:val="center"/>
          </w:tcPr>
          <w:p>
            <w:pPr>
              <w:pStyle w:val="16"/>
            </w:pPr>
            <w:r>
              <w:t>≥2套</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办公耗材</w:t>
            </w:r>
          </w:p>
        </w:tc>
        <w:tc>
          <w:tcPr>
            <w:tcW w:w="2835" w:type="dxa"/>
            <w:vAlign w:val="center"/>
          </w:tcPr>
          <w:p>
            <w:pPr>
              <w:pStyle w:val="16"/>
            </w:pPr>
            <w:r>
              <w:t>雨衣雨鞋</w:t>
            </w:r>
          </w:p>
        </w:tc>
        <w:tc>
          <w:tcPr>
            <w:tcW w:w="2551" w:type="dxa"/>
            <w:vAlign w:val="center"/>
          </w:tcPr>
          <w:p>
            <w:pPr>
              <w:pStyle w:val="16"/>
            </w:pPr>
            <w:r>
              <w:t>≥30套</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办公耗材</w:t>
            </w:r>
          </w:p>
        </w:tc>
        <w:tc>
          <w:tcPr>
            <w:tcW w:w="2835" w:type="dxa"/>
            <w:vAlign w:val="center"/>
          </w:tcPr>
          <w:p>
            <w:pPr>
              <w:pStyle w:val="16"/>
            </w:pPr>
            <w:r>
              <w:t>应急照明灯</w:t>
            </w:r>
          </w:p>
        </w:tc>
        <w:tc>
          <w:tcPr>
            <w:tcW w:w="2551" w:type="dxa"/>
            <w:vAlign w:val="center"/>
          </w:tcPr>
          <w:p>
            <w:pPr>
              <w:pStyle w:val="16"/>
            </w:pPr>
            <w:r>
              <w:t>≥10个</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购买办公设备及时完成数量/总办公设备数量*100%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控制支付办公设备的总费用</w:t>
            </w:r>
          </w:p>
        </w:tc>
        <w:tc>
          <w:tcPr>
            <w:tcW w:w="2551" w:type="dxa"/>
            <w:vAlign w:val="center"/>
          </w:tcPr>
          <w:p>
            <w:pPr>
              <w:pStyle w:val="16"/>
            </w:pPr>
            <w:r>
              <w:t>≤22.11万元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管理水平提升</w:t>
            </w:r>
          </w:p>
        </w:tc>
        <w:tc>
          <w:tcPr>
            <w:tcW w:w="2835" w:type="dxa"/>
            <w:vAlign w:val="center"/>
          </w:tcPr>
          <w:p>
            <w:pPr>
              <w:pStyle w:val="16"/>
            </w:pPr>
            <w:r>
              <w:t>通过购置办公设备提升执法管理水平工作能力</w:t>
            </w:r>
          </w:p>
        </w:tc>
        <w:tc>
          <w:tcPr>
            <w:tcW w:w="2551" w:type="dxa"/>
            <w:vAlign w:val="center"/>
          </w:tcPr>
          <w:p>
            <w:pPr>
              <w:pStyle w:val="16"/>
            </w:pPr>
            <w:r>
              <w:t>提升</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调查中满意服务人员/服务人员总数*100%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29、2022年综合执法队伍工作提升资金-行政执法全过程法务咨询绩效目标表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1.充分发挥综合执法局职能，更好</w:t>
            </w:r>
            <w:r>
              <w:rPr>
                <w:rFonts w:hint="eastAsia"/>
                <w:lang w:val="en-US" w:eastAsia="zh-CN"/>
              </w:rPr>
              <w:t>地</w:t>
            </w:r>
            <w:r>
              <w:t>为临空经济区提供执法服务，提高临空经济区城市治理品质完成2023年度安全生产目标。</w:t>
            </w:r>
          </w:p>
          <w:p>
            <w:pPr>
              <w:pStyle w:val="16"/>
            </w:pPr>
            <w:r>
              <w:t>2.对内树立综合执法良好形象，提高行政执法人员业务素质，对外通过宣传营造良好执法氛围，专业律师全程咨询切实做到依法行政，确保2023年度重点工作顺利实施，圆满完成工作任务。</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法律咨询</w:t>
            </w:r>
          </w:p>
        </w:tc>
        <w:tc>
          <w:tcPr>
            <w:tcW w:w="2835" w:type="dxa"/>
            <w:vAlign w:val="center"/>
          </w:tcPr>
          <w:p>
            <w:pPr>
              <w:pStyle w:val="16"/>
            </w:pPr>
            <w:r>
              <w:t>开展各项业务培训；参与制定相关文件；提供咨询服务</w:t>
            </w:r>
          </w:p>
        </w:tc>
        <w:tc>
          <w:tcPr>
            <w:tcW w:w="2551" w:type="dxa"/>
            <w:vAlign w:val="center"/>
          </w:tcPr>
          <w:p>
            <w:pPr>
              <w:pStyle w:val="16"/>
            </w:pPr>
            <w:r>
              <w:t>≥100%</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三方服务及时完成数量/总服务数量*100%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控制支付三方服务的总费用</w:t>
            </w:r>
          </w:p>
        </w:tc>
        <w:tc>
          <w:tcPr>
            <w:tcW w:w="2551" w:type="dxa"/>
            <w:vAlign w:val="center"/>
          </w:tcPr>
          <w:p>
            <w:pPr>
              <w:pStyle w:val="16"/>
            </w:pPr>
            <w:r>
              <w:t>≤9.8万元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通过法律宣传，提升群众守法意识</w:t>
            </w:r>
          </w:p>
        </w:tc>
        <w:tc>
          <w:tcPr>
            <w:tcW w:w="2835" w:type="dxa"/>
            <w:vAlign w:val="center"/>
          </w:tcPr>
          <w:p>
            <w:pPr>
              <w:pStyle w:val="16"/>
            </w:pPr>
            <w:r>
              <w:t>通过专家服务提高人民群众守法意识</w:t>
            </w:r>
          </w:p>
        </w:tc>
        <w:tc>
          <w:tcPr>
            <w:tcW w:w="2551" w:type="dxa"/>
            <w:vAlign w:val="center"/>
          </w:tcPr>
          <w:p>
            <w:pPr>
              <w:pStyle w:val="16"/>
            </w:pPr>
            <w:r>
              <w:t>提升</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提升群众法律意识</w:t>
            </w:r>
          </w:p>
        </w:tc>
        <w:tc>
          <w:tcPr>
            <w:tcW w:w="2835" w:type="dxa"/>
            <w:vAlign w:val="center"/>
          </w:tcPr>
          <w:p>
            <w:pPr>
              <w:pStyle w:val="16"/>
            </w:pPr>
            <w:r>
              <w:t>提升群众法律意识</w:t>
            </w:r>
          </w:p>
        </w:tc>
        <w:tc>
          <w:tcPr>
            <w:tcW w:w="2551" w:type="dxa"/>
            <w:vAlign w:val="center"/>
          </w:tcPr>
          <w:p>
            <w:pPr>
              <w:pStyle w:val="16"/>
            </w:pPr>
            <w:r>
              <w:t>健全</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调查中满意服务人员/服务人员总数*100%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30、2022年综合执法队伍工作提升资金-演练培训费绩效目标表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开展防汛抢险应急演练，检验有关部门和应急队伍对险情的应急处置能力，强化应急预案的针对性、可操作性，提高有关部门和应急队伍对灾难的决策指挥和协同作战能力、快速反应和科学施救能力、现场控制和紧急疏散能力、分级响应和综合保障能力，建立和完善抗洪抢险预防预警、信息共享、协调联动工作机制，全面提升对抗洪抢险灾难应急救援实战水平。</w:t>
            </w:r>
          </w:p>
          <w:p>
            <w:pPr>
              <w:pStyle w:val="16"/>
            </w:pPr>
            <w:r>
              <w:t>2.通过购买第三方专家咨询服务，本次防汛抢险应急演练设4个指挥部及3个模拟情景场地，确保全面提升对抗洪抢险灾难应急救援实战水平，圆满完成工作任务。</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设4个指挥部</w:t>
            </w:r>
          </w:p>
          <w:p>
            <w:pPr>
              <w:pStyle w:val="16"/>
            </w:pPr>
            <w:r>
              <w:t>及3个模拟情景场地</w:t>
            </w:r>
          </w:p>
        </w:tc>
        <w:tc>
          <w:tcPr>
            <w:tcW w:w="2835" w:type="dxa"/>
            <w:vAlign w:val="center"/>
          </w:tcPr>
          <w:p>
            <w:pPr>
              <w:pStyle w:val="16"/>
            </w:pPr>
            <w:r>
              <w:t>通过推演及演练让各工作组牢记汛情之下各自工作职责，统一思想，提高认识</w:t>
            </w:r>
          </w:p>
        </w:tc>
        <w:tc>
          <w:tcPr>
            <w:tcW w:w="2551" w:type="dxa"/>
            <w:vAlign w:val="center"/>
          </w:tcPr>
          <w:p>
            <w:pPr>
              <w:pStyle w:val="16"/>
            </w:pPr>
            <w:r>
              <w:t>100%</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采用影像录制、视频同传、数据连接等技术实现整体流程</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三方服务及时完成数量/总服务数量*100%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控制支付三方服务的总费用</w:t>
            </w:r>
          </w:p>
        </w:tc>
        <w:tc>
          <w:tcPr>
            <w:tcW w:w="2551" w:type="dxa"/>
            <w:vAlign w:val="center"/>
          </w:tcPr>
          <w:p>
            <w:pPr>
              <w:pStyle w:val="16"/>
            </w:pPr>
            <w:r>
              <w:t>≤16.48万元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安全生产形</w:t>
            </w:r>
            <w:r>
              <w:rPr>
                <w:rFonts w:hint="eastAsia"/>
                <w:lang w:val="en-US" w:eastAsia="zh-CN"/>
              </w:rPr>
              <w:t>势</w:t>
            </w:r>
            <w:r>
              <w:t>稳定，应急保障能力提升</w:t>
            </w:r>
          </w:p>
        </w:tc>
        <w:tc>
          <w:tcPr>
            <w:tcW w:w="2835" w:type="dxa"/>
            <w:vAlign w:val="center"/>
          </w:tcPr>
          <w:p>
            <w:pPr>
              <w:pStyle w:val="16"/>
            </w:pPr>
            <w:r>
              <w:t>通过防汛应急演练实施提升及应急保障能力</w:t>
            </w:r>
          </w:p>
        </w:tc>
        <w:tc>
          <w:tcPr>
            <w:tcW w:w="2551" w:type="dxa"/>
            <w:vAlign w:val="center"/>
          </w:tcPr>
          <w:p>
            <w:pPr>
              <w:pStyle w:val="16"/>
            </w:pPr>
            <w:r>
              <w:t>提升</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挽回社会经济损失</w:t>
            </w:r>
          </w:p>
        </w:tc>
        <w:tc>
          <w:tcPr>
            <w:tcW w:w="2835" w:type="dxa"/>
            <w:vAlign w:val="center"/>
          </w:tcPr>
          <w:p>
            <w:pPr>
              <w:pStyle w:val="16"/>
            </w:pPr>
            <w:r>
              <w:t>最大限度减少人员伤亡和财产损失，维护社会的安全和稳定</w:t>
            </w:r>
          </w:p>
        </w:tc>
        <w:tc>
          <w:tcPr>
            <w:tcW w:w="2551" w:type="dxa"/>
            <w:vAlign w:val="center"/>
          </w:tcPr>
          <w:p>
            <w:pPr>
              <w:pStyle w:val="16"/>
            </w:pPr>
            <w:r>
              <w:t>有效避免</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全面提升对抗洪抢险灾难应急救援实战水平</w:t>
            </w:r>
          </w:p>
        </w:tc>
        <w:tc>
          <w:tcPr>
            <w:tcW w:w="2835" w:type="dxa"/>
            <w:vAlign w:val="center"/>
          </w:tcPr>
          <w:p>
            <w:pPr>
              <w:pStyle w:val="16"/>
            </w:pPr>
            <w:r>
              <w:t>逐步完善综合执法工作职责和任务，健全防汛工作方案</w:t>
            </w:r>
          </w:p>
        </w:tc>
        <w:tc>
          <w:tcPr>
            <w:tcW w:w="2551" w:type="dxa"/>
            <w:vAlign w:val="center"/>
          </w:tcPr>
          <w:p>
            <w:pPr>
              <w:pStyle w:val="16"/>
            </w:pPr>
            <w:r>
              <w:t>健全</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调查中满意服务人员/服务人员总数*100%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31、2023年督查督办系统建设项目绩效目标表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1.综合办公室督办业务提供更加便捷、高效的工具支持，为辅助领导决策提供更加真实、实时的数据支撑，助力政府打造高效的执行力。效率。</w:t>
            </w:r>
          </w:p>
          <w:p>
            <w:pPr>
              <w:pStyle w:val="16"/>
            </w:pPr>
            <w:r>
              <w:t>2.2023年采购开发平台一套，督查督办技术服务2次等，按需求及时实施，成本控制在164万元以内，用于对上级督办任务、全委重点工作、各类会议交办工作、非工程建设类大事记等事项的分解下达、协作、督办跟踪等督办业务，实现办公效率的明显提升。</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督查督办软件平台开发数量</w:t>
            </w:r>
          </w:p>
        </w:tc>
        <w:tc>
          <w:tcPr>
            <w:tcW w:w="2835" w:type="dxa"/>
            <w:vAlign w:val="center"/>
          </w:tcPr>
          <w:p>
            <w:pPr>
              <w:pStyle w:val="16"/>
            </w:pPr>
            <w:r>
              <w:t>督查督办软件平台开发数量</w:t>
            </w:r>
          </w:p>
        </w:tc>
        <w:tc>
          <w:tcPr>
            <w:tcW w:w="2551" w:type="dxa"/>
            <w:vAlign w:val="center"/>
          </w:tcPr>
          <w:p>
            <w:pPr>
              <w:pStyle w:val="16"/>
            </w:pPr>
            <w:r>
              <w:t>1套</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督查督办技术服务数量</w:t>
            </w:r>
          </w:p>
        </w:tc>
        <w:tc>
          <w:tcPr>
            <w:tcW w:w="2835" w:type="dxa"/>
            <w:vAlign w:val="center"/>
          </w:tcPr>
          <w:p>
            <w:pPr>
              <w:pStyle w:val="16"/>
            </w:pPr>
            <w:r>
              <w:t>督查督办技术服务数量</w:t>
            </w:r>
          </w:p>
        </w:tc>
        <w:tc>
          <w:tcPr>
            <w:tcW w:w="2551" w:type="dxa"/>
            <w:vAlign w:val="center"/>
          </w:tcPr>
          <w:p>
            <w:pPr>
              <w:pStyle w:val="16"/>
            </w:pPr>
            <w:r>
              <w:t>2次</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平台使用率</w:t>
            </w:r>
          </w:p>
        </w:tc>
        <w:tc>
          <w:tcPr>
            <w:tcW w:w="2835" w:type="dxa"/>
            <w:vAlign w:val="center"/>
          </w:tcPr>
          <w:p>
            <w:pPr>
              <w:pStyle w:val="16"/>
            </w:pPr>
            <w:r>
              <w:t>实际使用天数/计划使用天数*100%</w:t>
            </w:r>
          </w:p>
        </w:tc>
        <w:tc>
          <w:tcPr>
            <w:tcW w:w="2551" w:type="dxa"/>
            <w:vAlign w:val="center"/>
          </w:tcPr>
          <w:p>
            <w:pPr>
              <w:pStyle w:val="16"/>
            </w:pPr>
            <w:r>
              <w:t>≥95%</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督查督办技术服务工作考核达标率</w:t>
            </w:r>
          </w:p>
        </w:tc>
        <w:tc>
          <w:tcPr>
            <w:tcW w:w="2835" w:type="dxa"/>
            <w:vAlign w:val="center"/>
          </w:tcPr>
          <w:p>
            <w:pPr>
              <w:pStyle w:val="16"/>
            </w:pPr>
            <w:r>
              <w:t>考核达标数量/技术服务总数量</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软件开发及时性</w:t>
            </w:r>
          </w:p>
        </w:tc>
        <w:tc>
          <w:tcPr>
            <w:tcW w:w="2835" w:type="dxa"/>
            <w:vAlign w:val="center"/>
          </w:tcPr>
          <w:p>
            <w:pPr>
              <w:pStyle w:val="16"/>
            </w:pPr>
            <w:r>
              <w:t>软件开发实施完成时限</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督查督办软件平台成本</w:t>
            </w:r>
          </w:p>
        </w:tc>
        <w:tc>
          <w:tcPr>
            <w:tcW w:w="2835" w:type="dxa"/>
            <w:vAlign w:val="center"/>
          </w:tcPr>
          <w:p>
            <w:pPr>
              <w:pStyle w:val="16"/>
            </w:pPr>
            <w:r>
              <w:t>考察督办软件平台成本控制情况</w:t>
            </w:r>
          </w:p>
        </w:tc>
        <w:tc>
          <w:tcPr>
            <w:tcW w:w="2551" w:type="dxa"/>
            <w:vAlign w:val="center"/>
          </w:tcPr>
          <w:p>
            <w:pPr>
              <w:pStyle w:val="16"/>
            </w:pPr>
            <w:r>
              <w:t>≤115万</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督查督办技术服务平均成本</w:t>
            </w:r>
          </w:p>
        </w:tc>
        <w:tc>
          <w:tcPr>
            <w:tcW w:w="2835" w:type="dxa"/>
            <w:vAlign w:val="center"/>
          </w:tcPr>
          <w:p>
            <w:pPr>
              <w:pStyle w:val="16"/>
            </w:pPr>
            <w:r>
              <w:t>考察督查督办技术服务平均成本控制情况</w:t>
            </w:r>
          </w:p>
        </w:tc>
        <w:tc>
          <w:tcPr>
            <w:tcW w:w="2551" w:type="dxa"/>
            <w:vAlign w:val="center"/>
          </w:tcPr>
          <w:p>
            <w:pPr>
              <w:pStyle w:val="16"/>
            </w:pPr>
            <w:r>
              <w:t>≤15万</w:t>
            </w:r>
          </w:p>
        </w:tc>
        <w:tc>
          <w:tcPr>
            <w:tcW w:w="2268" w:type="dxa"/>
            <w:vAlign w:val="center"/>
          </w:tcPr>
          <w:p>
            <w:pPr>
              <w:pStyle w:val="16"/>
            </w:pPr>
            <w:r>
              <w:t>工作计划</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提升办公效率</w:t>
            </w:r>
          </w:p>
        </w:tc>
        <w:tc>
          <w:tcPr>
            <w:tcW w:w="2835" w:type="dxa"/>
            <w:vAlign w:val="center"/>
          </w:tcPr>
          <w:p>
            <w:pPr>
              <w:pStyle w:val="16"/>
            </w:pPr>
            <w:r>
              <w:t>督办事件流转速度和服务水平明显提升</w:t>
            </w:r>
          </w:p>
        </w:tc>
        <w:tc>
          <w:tcPr>
            <w:tcW w:w="2551" w:type="dxa"/>
            <w:vAlign w:val="center"/>
          </w:tcPr>
          <w:p>
            <w:pPr>
              <w:pStyle w:val="16"/>
            </w:pPr>
            <w:r>
              <w:t>提升</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资金管理制度健全性</w:t>
            </w:r>
          </w:p>
        </w:tc>
        <w:tc>
          <w:tcPr>
            <w:tcW w:w="2835" w:type="dxa"/>
            <w:vAlign w:val="center"/>
          </w:tcPr>
          <w:p>
            <w:pPr>
              <w:pStyle w:val="16"/>
            </w:pPr>
            <w:r>
              <w:t>资金管理制度健全性</w:t>
            </w:r>
          </w:p>
        </w:tc>
        <w:tc>
          <w:tcPr>
            <w:tcW w:w="2551" w:type="dxa"/>
            <w:vAlign w:val="center"/>
          </w:tcPr>
          <w:p>
            <w:pPr>
              <w:pStyle w:val="16"/>
            </w:pPr>
            <w:r>
              <w:t>健全</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部门满意度</w:t>
            </w:r>
          </w:p>
        </w:tc>
        <w:tc>
          <w:tcPr>
            <w:tcW w:w="2835" w:type="dxa"/>
            <w:vAlign w:val="center"/>
          </w:tcPr>
          <w:p>
            <w:pPr>
              <w:pStyle w:val="16"/>
            </w:pPr>
            <w:r>
              <w:t>部门满意数量/调查总数量*100%</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32、2023年森林检测督查评估项目绩效目标表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911"/>
        <w:gridCol w:w="12887"/>
      </w:tblGrid>
      <w:tr>
        <w:trPr>
          <w:trHeight w:val="397" w:hRule="atLeast"/>
          <w:jc w:val="center"/>
        </w:trPr>
        <w:tc>
          <w:tcPr>
            <w:tcW w:w="1911" w:type="dxa"/>
            <w:tcBorders>
              <w:bottom w:val="single" w:color="FFFFFF" w:sz="6" w:space="0"/>
            </w:tcBorders>
            <w:vAlign w:val="center"/>
          </w:tcPr>
          <w:p>
            <w:pPr>
              <w:pStyle w:val="14"/>
            </w:pPr>
            <w:r>
              <w:t>绩效目标</w:t>
            </w:r>
          </w:p>
        </w:tc>
        <w:tc>
          <w:tcPr>
            <w:tcW w:w="12887" w:type="dxa"/>
            <w:tcBorders>
              <w:bottom w:val="single" w:color="FFFFFF" w:sz="6" w:space="0"/>
            </w:tcBorders>
            <w:vAlign w:val="center"/>
          </w:tcPr>
          <w:p>
            <w:pPr>
              <w:pStyle w:val="16"/>
            </w:pPr>
            <w:r>
              <w:t>1.1、通过该项目的实施完成临空经济区内近、远期造林绿化核查等工作，进一步促进营造林工程质量的提升，全方位、多层次加强工程建设管理质量，及时解决存在的问题，完善基础数据，实现造林管理可视化、数字化、智能化，推动区域生态健康发展，保障临空经济区生态优先、绿色发展理念。2、开展林草湿调查监测工作，掌握临空区内森林、草原、湿地资源现状和变化情况，为科学开展森林、草原、湿地生态系统保护修复、监督管理、林长制督查考核、实施碳达峰碳中和战略等提供决策支撑，为生态文明建设目标评价考核提供科学依据。3、调查监测临空经济区内森林资源现状和动态变化情况，按年度更新森林资源管理“一张图”，及时掌握森林资源保护利用现状及其消长变化，全面掌握违法违规破坏森林资源情况，推进森林资源常态化、动态化、规范化管理，为森林资源保护管理及生态文明建设重大决策提供科学依据。4、运用第三次全国国土调查和最新年度国土变更调查成果，结合国土空间规划编制工作，科学开展造林绿化空间适宜性评估，合理布局绿化空间并在国土空间规划中上图入库，并通过研究提出2025年、2030年、2035年的森林覆盖率和森林保有量的目标。</w:t>
            </w:r>
          </w:p>
          <w:p>
            <w:pPr>
              <w:pStyle w:val="16"/>
            </w:pPr>
            <w:r>
              <w:t>2.通过项目的开展，完成林草湿检测图斑不少于894块，森林督查图斑不少于824块，国土空进造林图斑不少于2539块，样地调查不少于1块，森林资源管理服务面积不少于2000亩，核查报告一份，且图斑核实通过率100%，技术服务合格率100%，项目总成本不高于84万，由自然资源和规划局临空分局负责实施。</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0"/>
        <w:gridCol w:w="1747"/>
        <w:gridCol w:w="2583"/>
        <w:gridCol w:w="3624"/>
        <w:gridCol w:w="1773"/>
        <w:gridCol w:w="3159"/>
      </w:tblGrid>
      <w:tr>
        <w:trPr>
          <w:trHeight w:val="397" w:hRule="atLeast"/>
          <w:tblHeader/>
          <w:jc w:val="center"/>
        </w:trPr>
        <w:tc>
          <w:tcPr>
            <w:tcW w:w="1910" w:type="dxa"/>
            <w:vAlign w:val="center"/>
          </w:tcPr>
          <w:p>
            <w:pPr>
              <w:pStyle w:val="14"/>
            </w:pPr>
            <w:r>
              <w:t>一级指标</w:t>
            </w:r>
          </w:p>
        </w:tc>
        <w:tc>
          <w:tcPr>
            <w:tcW w:w="1747" w:type="dxa"/>
            <w:vAlign w:val="center"/>
          </w:tcPr>
          <w:p>
            <w:pPr>
              <w:pStyle w:val="14"/>
            </w:pPr>
            <w:r>
              <w:t>二级指标</w:t>
            </w:r>
          </w:p>
        </w:tc>
        <w:tc>
          <w:tcPr>
            <w:tcW w:w="2583" w:type="dxa"/>
            <w:vAlign w:val="center"/>
          </w:tcPr>
          <w:p>
            <w:pPr>
              <w:pStyle w:val="14"/>
            </w:pPr>
            <w:r>
              <w:t>三级指标</w:t>
            </w:r>
          </w:p>
        </w:tc>
        <w:tc>
          <w:tcPr>
            <w:tcW w:w="3624" w:type="dxa"/>
            <w:vAlign w:val="center"/>
          </w:tcPr>
          <w:p>
            <w:pPr>
              <w:pStyle w:val="14"/>
            </w:pPr>
            <w:r>
              <w:t>绩效指标描述</w:t>
            </w:r>
          </w:p>
        </w:tc>
        <w:tc>
          <w:tcPr>
            <w:tcW w:w="1773" w:type="dxa"/>
            <w:vAlign w:val="center"/>
          </w:tcPr>
          <w:p>
            <w:pPr>
              <w:pStyle w:val="14"/>
            </w:pPr>
            <w:r>
              <w:t>指标值</w:t>
            </w:r>
          </w:p>
        </w:tc>
        <w:tc>
          <w:tcPr>
            <w:tcW w:w="3159" w:type="dxa"/>
            <w:vAlign w:val="center"/>
          </w:tcPr>
          <w:p>
            <w:pPr>
              <w:pStyle w:val="14"/>
            </w:pPr>
            <w:r>
              <w:t>指标值确定依据</w:t>
            </w:r>
          </w:p>
        </w:tc>
      </w:tr>
      <w:tr>
        <w:trPr>
          <w:trHeight w:val="397" w:hRule="atLeast"/>
          <w:jc w:val="center"/>
        </w:trPr>
        <w:tc>
          <w:tcPr>
            <w:tcW w:w="1910" w:type="dxa"/>
            <w:vMerge w:val="restart"/>
            <w:vAlign w:val="center"/>
          </w:tcPr>
          <w:p>
            <w:pPr>
              <w:pStyle w:val="17"/>
            </w:pPr>
            <w:r>
              <w:t>产出指标</w:t>
            </w:r>
          </w:p>
        </w:tc>
        <w:tc>
          <w:tcPr>
            <w:tcW w:w="1747" w:type="dxa"/>
            <w:vAlign w:val="center"/>
          </w:tcPr>
          <w:p>
            <w:pPr>
              <w:pStyle w:val="16"/>
            </w:pPr>
            <w:r>
              <w:t>数量指标</w:t>
            </w:r>
          </w:p>
        </w:tc>
        <w:tc>
          <w:tcPr>
            <w:tcW w:w="2583" w:type="dxa"/>
            <w:vAlign w:val="center"/>
          </w:tcPr>
          <w:p>
            <w:pPr>
              <w:pStyle w:val="16"/>
            </w:pPr>
            <w:r>
              <w:t>林草湿图斑数量</w:t>
            </w:r>
          </w:p>
        </w:tc>
        <w:tc>
          <w:tcPr>
            <w:tcW w:w="3624" w:type="dxa"/>
            <w:vAlign w:val="center"/>
          </w:tcPr>
          <w:p>
            <w:pPr>
              <w:pStyle w:val="16"/>
            </w:pPr>
            <w:r>
              <w:t>国家下发图斑数量</w:t>
            </w:r>
          </w:p>
        </w:tc>
        <w:tc>
          <w:tcPr>
            <w:tcW w:w="1773" w:type="dxa"/>
            <w:vAlign w:val="center"/>
          </w:tcPr>
          <w:p>
            <w:pPr>
              <w:pStyle w:val="16"/>
            </w:pPr>
            <w:r>
              <w:t>≥894块</w:t>
            </w:r>
          </w:p>
        </w:tc>
        <w:tc>
          <w:tcPr>
            <w:tcW w:w="3159" w:type="dxa"/>
            <w:vAlign w:val="center"/>
          </w:tcPr>
          <w:p>
            <w:pPr>
              <w:pStyle w:val="16"/>
            </w:pPr>
            <w:r>
              <w:t>具体按照国家下发图斑数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数量指标</w:t>
            </w:r>
          </w:p>
        </w:tc>
        <w:tc>
          <w:tcPr>
            <w:tcW w:w="2583" w:type="dxa"/>
            <w:vAlign w:val="center"/>
          </w:tcPr>
          <w:p>
            <w:pPr>
              <w:pStyle w:val="16"/>
            </w:pPr>
            <w:r>
              <w:t>森林督查图斑数量</w:t>
            </w:r>
          </w:p>
        </w:tc>
        <w:tc>
          <w:tcPr>
            <w:tcW w:w="3624" w:type="dxa"/>
            <w:vAlign w:val="center"/>
          </w:tcPr>
          <w:p>
            <w:pPr>
              <w:pStyle w:val="16"/>
            </w:pPr>
            <w:r>
              <w:t>国家下发图斑数量</w:t>
            </w:r>
          </w:p>
        </w:tc>
        <w:tc>
          <w:tcPr>
            <w:tcW w:w="1773" w:type="dxa"/>
            <w:vAlign w:val="center"/>
          </w:tcPr>
          <w:p>
            <w:pPr>
              <w:pStyle w:val="16"/>
            </w:pPr>
            <w:r>
              <w:t>≥824块</w:t>
            </w:r>
          </w:p>
        </w:tc>
        <w:tc>
          <w:tcPr>
            <w:tcW w:w="3159" w:type="dxa"/>
            <w:vAlign w:val="center"/>
          </w:tcPr>
          <w:p>
            <w:pPr>
              <w:pStyle w:val="16"/>
            </w:pPr>
            <w:r>
              <w:t>具体按照国家下发图斑数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数量指标</w:t>
            </w:r>
          </w:p>
        </w:tc>
        <w:tc>
          <w:tcPr>
            <w:tcW w:w="2583" w:type="dxa"/>
            <w:vAlign w:val="center"/>
          </w:tcPr>
          <w:p>
            <w:pPr>
              <w:pStyle w:val="16"/>
            </w:pPr>
            <w:r>
              <w:t>国土空间造林图斑数量</w:t>
            </w:r>
          </w:p>
        </w:tc>
        <w:tc>
          <w:tcPr>
            <w:tcW w:w="3624" w:type="dxa"/>
            <w:vAlign w:val="center"/>
          </w:tcPr>
          <w:p>
            <w:pPr>
              <w:pStyle w:val="16"/>
            </w:pPr>
            <w:r>
              <w:t>国家下发图斑数量</w:t>
            </w:r>
          </w:p>
        </w:tc>
        <w:tc>
          <w:tcPr>
            <w:tcW w:w="1773" w:type="dxa"/>
            <w:vAlign w:val="center"/>
          </w:tcPr>
          <w:p>
            <w:pPr>
              <w:pStyle w:val="16"/>
            </w:pPr>
            <w:r>
              <w:t>≥2539块</w:t>
            </w:r>
          </w:p>
        </w:tc>
        <w:tc>
          <w:tcPr>
            <w:tcW w:w="3159" w:type="dxa"/>
            <w:vAlign w:val="center"/>
          </w:tcPr>
          <w:p>
            <w:pPr>
              <w:pStyle w:val="16"/>
            </w:pPr>
            <w:r>
              <w:t>具体按照国家下发图斑数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数量指标</w:t>
            </w:r>
          </w:p>
        </w:tc>
        <w:tc>
          <w:tcPr>
            <w:tcW w:w="2583" w:type="dxa"/>
            <w:vAlign w:val="center"/>
          </w:tcPr>
          <w:p>
            <w:pPr>
              <w:pStyle w:val="16"/>
            </w:pPr>
            <w:r>
              <w:t>样地数量</w:t>
            </w:r>
          </w:p>
        </w:tc>
        <w:tc>
          <w:tcPr>
            <w:tcW w:w="3624" w:type="dxa"/>
            <w:vAlign w:val="center"/>
          </w:tcPr>
          <w:p>
            <w:pPr>
              <w:pStyle w:val="16"/>
            </w:pPr>
            <w:r>
              <w:t>样地数量</w:t>
            </w:r>
          </w:p>
        </w:tc>
        <w:tc>
          <w:tcPr>
            <w:tcW w:w="1773" w:type="dxa"/>
            <w:vAlign w:val="center"/>
          </w:tcPr>
          <w:p>
            <w:pPr>
              <w:pStyle w:val="16"/>
            </w:pPr>
            <w:r>
              <w:t>≥1块</w:t>
            </w:r>
          </w:p>
        </w:tc>
        <w:tc>
          <w:tcPr>
            <w:tcW w:w="3159" w:type="dxa"/>
            <w:vAlign w:val="center"/>
          </w:tcPr>
          <w:p>
            <w:pPr>
              <w:pStyle w:val="16"/>
            </w:pPr>
            <w:r>
              <w:t>国家下发为主</w:t>
            </w:r>
          </w:p>
        </w:tc>
      </w:tr>
      <w:tr>
        <w:trPr>
          <w:trHeight w:val="397" w:hRule="atLeast"/>
          <w:jc w:val="center"/>
        </w:trPr>
        <w:tc>
          <w:tcPr>
            <w:tcW w:w="1910" w:type="dxa"/>
            <w:vMerge w:val="continue"/>
            <w:vAlign w:val="center"/>
          </w:tcPr>
          <w:p/>
        </w:tc>
        <w:tc>
          <w:tcPr>
            <w:tcW w:w="1747" w:type="dxa"/>
            <w:vAlign w:val="center"/>
          </w:tcPr>
          <w:p>
            <w:pPr>
              <w:pStyle w:val="16"/>
            </w:pPr>
            <w:r>
              <w:t>数量指标</w:t>
            </w:r>
          </w:p>
        </w:tc>
        <w:tc>
          <w:tcPr>
            <w:tcW w:w="2583" w:type="dxa"/>
            <w:vAlign w:val="center"/>
          </w:tcPr>
          <w:p>
            <w:pPr>
              <w:pStyle w:val="16"/>
            </w:pPr>
            <w:r>
              <w:t>森林资源管理服务面积</w:t>
            </w:r>
          </w:p>
        </w:tc>
        <w:tc>
          <w:tcPr>
            <w:tcW w:w="3624" w:type="dxa"/>
            <w:vAlign w:val="center"/>
          </w:tcPr>
          <w:p>
            <w:pPr>
              <w:pStyle w:val="16"/>
            </w:pPr>
            <w:r>
              <w:t>造林绿化核查总面积</w:t>
            </w:r>
          </w:p>
        </w:tc>
        <w:tc>
          <w:tcPr>
            <w:tcW w:w="1773" w:type="dxa"/>
            <w:vAlign w:val="center"/>
          </w:tcPr>
          <w:p>
            <w:pPr>
              <w:pStyle w:val="16"/>
            </w:pPr>
            <w:r>
              <w:t>≥2000亩</w:t>
            </w:r>
          </w:p>
        </w:tc>
        <w:tc>
          <w:tcPr>
            <w:tcW w:w="3159" w:type="dxa"/>
            <w:vAlign w:val="center"/>
          </w:tcPr>
          <w:p>
            <w:pPr>
              <w:pStyle w:val="16"/>
            </w:pPr>
            <w:r>
              <w:t>实际按照廊坊市国土绿化实施方案及合同要求</w:t>
            </w:r>
          </w:p>
        </w:tc>
      </w:tr>
      <w:tr>
        <w:trPr>
          <w:trHeight w:val="397" w:hRule="atLeast"/>
          <w:jc w:val="center"/>
        </w:trPr>
        <w:tc>
          <w:tcPr>
            <w:tcW w:w="1910" w:type="dxa"/>
            <w:vMerge w:val="continue"/>
            <w:vAlign w:val="center"/>
          </w:tcPr>
          <w:p/>
        </w:tc>
        <w:tc>
          <w:tcPr>
            <w:tcW w:w="1747" w:type="dxa"/>
            <w:vAlign w:val="center"/>
          </w:tcPr>
          <w:p>
            <w:pPr>
              <w:pStyle w:val="16"/>
            </w:pPr>
            <w:r>
              <w:t>数量指标</w:t>
            </w:r>
          </w:p>
        </w:tc>
        <w:tc>
          <w:tcPr>
            <w:tcW w:w="2583" w:type="dxa"/>
            <w:vAlign w:val="center"/>
          </w:tcPr>
          <w:p>
            <w:pPr>
              <w:pStyle w:val="16"/>
            </w:pPr>
            <w:r>
              <w:t>核查报告</w:t>
            </w:r>
          </w:p>
        </w:tc>
        <w:tc>
          <w:tcPr>
            <w:tcW w:w="3624" w:type="dxa"/>
            <w:vAlign w:val="center"/>
          </w:tcPr>
          <w:p>
            <w:pPr>
              <w:pStyle w:val="16"/>
            </w:pPr>
            <w:r>
              <w:t>造林核查报告</w:t>
            </w:r>
          </w:p>
        </w:tc>
        <w:tc>
          <w:tcPr>
            <w:tcW w:w="1773" w:type="dxa"/>
            <w:vAlign w:val="center"/>
          </w:tcPr>
          <w:p>
            <w:pPr>
              <w:pStyle w:val="16"/>
            </w:pPr>
            <w:r>
              <w:t>≥1份</w:t>
            </w:r>
          </w:p>
        </w:tc>
        <w:tc>
          <w:tcPr>
            <w:tcW w:w="3159" w:type="dxa"/>
            <w:vAlign w:val="center"/>
          </w:tcPr>
          <w:p>
            <w:pPr>
              <w:pStyle w:val="16"/>
            </w:pPr>
            <w:r>
              <w:t>廊坊市国土绿化实施方案及合同要求</w:t>
            </w:r>
          </w:p>
        </w:tc>
      </w:tr>
      <w:tr>
        <w:trPr>
          <w:trHeight w:val="397" w:hRule="atLeast"/>
          <w:jc w:val="center"/>
        </w:trPr>
        <w:tc>
          <w:tcPr>
            <w:tcW w:w="1910" w:type="dxa"/>
            <w:vMerge w:val="continue"/>
            <w:vAlign w:val="center"/>
          </w:tcPr>
          <w:p/>
        </w:tc>
        <w:tc>
          <w:tcPr>
            <w:tcW w:w="1747" w:type="dxa"/>
            <w:vAlign w:val="center"/>
          </w:tcPr>
          <w:p>
            <w:pPr>
              <w:pStyle w:val="16"/>
            </w:pPr>
            <w:r>
              <w:t>质量指标</w:t>
            </w:r>
          </w:p>
        </w:tc>
        <w:tc>
          <w:tcPr>
            <w:tcW w:w="2583" w:type="dxa"/>
            <w:vAlign w:val="center"/>
          </w:tcPr>
          <w:p>
            <w:pPr>
              <w:pStyle w:val="16"/>
            </w:pPr>
            <w:r>
              <w:t>图斑核实准确率</w:t>
            </w:r>
          </w:p>
        </w:tc>
        <w:tc>
          <w:tcPr>
            <w:tcW w:w="3624" w:type="dxa"/>
            <w:vAlign w:val="center"/>
          </w:tcPr>
          <w:p>
            <w:pPr>
              <w:pStyle w:val="16"/>
            </w:pPr>
            <w:r>
              <w:t>图斑核实准确数量/国家下发图斑数量*100%</w:t>
            </w:r>
          </w:p>
        </w:tc>
        <w:tc>
          <w:tcPr>
            <w:tcW w:w="1773" w:type="dxa"/>
            <w:vAlign w:val="center"/>
          </w:tcPr>
          <w:p>
            <w:pPr>
              <w:pStyle w:val="16"/>
            </w:pPr>
            <w:r>
              <w:t>100%</w:t>
            </w:r>
          </w:p>
        </w:tc>
        <w:tc>
          <w:tcPr>
            <w:tcW w:w="3159" w:type="dxa"/>
            <w:vAlign w:val="center"/>
          </w:tcPr>
          <w:p>
            <w:pPr>
              <w:pStyle w:val="16"/>
            </w:pPr>
            <w:r>
              <w:t>实际按照国家下发图斑数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质量指标</w:t>
            </w:r>
          </w:p>
        </w:tc>
        <w:tc>
          <w:tcPr>
            <w:tcW w:w="2583" w:type="dxa"/>
            <w:vAlign w:val="center"/>
          </w:tcPr>
          <w:p>
            <w:pPr>
              <w:pStyle w:val="16"/>
            </w:pPr>
            <w:r>
              <w:t>技术服务合格率</w:t>
            </w:r>
          </w:p>
        </w:tc>
        <w:tc>
          <w:tcPr>
            <w:tcW w:w="3624" w:type="dxa"/>
            <w:vAlign w:val="center"/>
          </w:tcPr>
          <w:p>
            <w:pPr>
              <w:pStyle w:val="16"/>
            </w:pPr>
            <w:r>
              <w:t>技术服务合格工作量占总工作量占比</w:t>
            </w:r>
          </w:p>
        </w:tc>
        <w:tc>
          <w:tcPr>
            <w:tcW w:w="1773" w:type="dxa"/>
            <w:vAlign w:val="center"/>
          </w:tcPr>
          <w:p>
            <w:pPr>
              <w:pStyle w:val="16"/>
            </w:pPr>
            <w:r>
              <w:t>100%</w:t>
            </w:r>
          </w:p>
        </w:tc>
        <w:tc>
          <w:tcPr>
            <w:tcW w:w="3159" w:type="dxa"/>
            <w:vAlign w:val="center"/>
          </w:tcPr>
          <w:p>
            <w:pPr>
              <w:pStyle w:val="16"/>
            </w:pPr>
            <w:r>
              <w:t>合同要求</w:t>
            </w:r>
          </w:p>
        </w:tc>
      </w:tr>
      <w:tr>
        <w:trPr>
          <w:trHeight w:val="397" w:hRule="atLeast"/>
          <w:jc w:val="center"/>
        </w:trPr>
        <w:tc>
          <w:tcPr>
            <w:tcW w:w="1910" w:type="dxa"/>
            <w:vMerge w:val="continue"/>
            <w:vAlign w:val="center"/>
          </w:tcPr>
          <w:p/>
        </w:tc>
        <w:tc>
          <w:tcPr>
            <w:tcW w:w="1747" w:type="dxa"/>
            <w:vAlign w:val="center"/>
          </w:tcPr>
          <w:p>
            <w:pPr>
              <w:pStyle w:val="16"/>
            </w:pPr>
            <w:r>
              <w:t>时效指标</w:t>
            </w:r>
          </w:p>
        </w:tc>
        <w:tc>
          <w:tcPr>
            <w:tcW w:w="2583" w:type="dxa"/>
            <w:vAlign w:val="center"/>
          </w:tcPr>
          <w:p>
            <w:pPr>
              <w:pStyle w:val="16"/>
            </w:pPr>
            <w:r>
              <w:t>完成及时性</w:t>
            </w:r>
          </w:p>
        </w:tc>
        <w:tc>
          <w:tcPr>
            <w:tcW w:w="3624" w:type="dxa"/>
            <w:vAlign w:val="center"/>
          </w:tcPr>
          <w:p>
            <w:pPr>
              <w:pStyle w:val="16"/>
            </w:pPr>
            <w:r>
              <w:t>合同规定工期</w:t>
            </w:r>
          </w:p>
        </w:tc>
        <w:tc>
          <w:tcPr>
            <w:tcW w:w="1773" w:type="dxa"/>
            <w:vAlign w:val="center"/>
          </w:tcPr>
          <w:p>
            <w:pPr>
              <w:pStyle w:val="16"/>
            </w:pPr>
            <w:r>
              <w:t>及时</w:t>
            </w:r>
          </w:p>
        </w:tc>
        <w:tc>
          <w:tcPr>
            <w:tcW w:w="3159" w:type="dxa"/>
            <w:vAlign w:val="center"/>
          </w:tcPr>
          <w:p>
            <w:pPr>
              <w:pStyle w:val="16"/>
            </w:pPr>
            <w:r>
              <w:t>合同</w:t>
            </w:r>
          </w:p>
        </w:tc>
      </w:tr>
      <w:tr>
        <w:trPr>
          <w:trHeight w:val="397" w:hRule="atLeast"/>
          <w:jc w:val="center"/>
        </w:trPr>
        <w:tc>
          <w:tcPr>
            <w:tcW w:w="1910" w:type="dxa"/>
            <w:vMerge w:val="continue"/>
            <w:vAlign w:val="center"/>
          </w:tcPr>
          <w:p/>
        </w:tc>
        <w:tc>
          <w:tcPr>
            <w:tcW w:w="1747" w:type="dxa"/>
            <w:vAlign w:val="center"/>
          </w:tcPr>
          <w:p>
            <w:pPr>
              <w:pStyle w:val="16"/>
            </w:pPr>
            <w:r>
              <w:t>成本指标</w:t>
            </w:r>
          </w:p>
        </w:tc>
        <w:tc>
          <w:tcPr>
            <w:tcW w:w="2583" w:type="dxa"/>
            <w:vAlign w:val="center"/>
          </w:tcPr>
          <w:p>
            <w:pPr>
              <w:pStyle w:val="16"/>
            </w:pPr>
            <w:r>
              <w:t>项目总投入成本</w:t>
            </w:r>
          </w:p>
        </w:tc>
        <w:tc>
          <w:tcPr>
            <w:tcW w:w="3624" w:type="dxa"/>
            <w:vAlign w:val="center"/>
          </w:tcPr>
          <w:p>
            <w:pPr>
              <w:pStyle w:val="16"/>
            </w:pPr>
            <w:r>
              <w:t>成本预算不高于84万</w:t>
            </w:r>
          </w:p>
        </w:tc>
        <w:tc>
          <w:tcPr>
            <w:tcW w:w="1773" w:type="dxa"/>
            <w:vAlign w:val="center"/>
          </w:tcPr>
          <w:p>
            <w:pPr>
              <w:pStyle w:val="16"/>
            </w:pPr>
            <w:r>
              <w:t>≤84万元</w:t>
            </w:r>
          </w:p>
        </w:tc>
        <w:tc>
          <w:tcPr>
            <w:tcW w:w="3159" w:type="dxa"/>
            <w:vAlign w:val="center"/>
          </w:tcPr>
          <w:p>
            <w:pPr>
              <w:pStyle w:val="16"/>
            </w:pPr>
            <w:r>
              <w:t>实际按照国家下发图斑数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成本指标</w:t>
            </w:r>
          </w:p>
        </w:tc>
        <w:tc>
          <w:tcPr>
            <w:tcW w:w="2583" w:type="dxa"/>
            <w:vAlign w:val="center"/>
          </w:tcPr>
          <w:p>
            <w:pPr>
              <w:pStyle w:val="16"/>
            </w:pPr>
            <w:r>
              <w:t>森林资源管理服务</w:t>
            </w:r>
          </w:p>
        </w:tc>
        <w:tc>
          <w:tcPr>
            <w:tcW w:w="3624" w:type="dxa"/>
            <w:vAlign w:val="center"/>
          </w:tcPr>
          <w:p>
            <w:pPr>
              <w:pStyle w:val="16"/>
            </w:pPr>
            <w:r>
              <w:t>成本预算不高于4万</w:t>
            </w:r>
          </w:p>
        </w:tc>
        <w:tc>
          <w:tcPr>
            <w:tcW w:w="1773" w:type="dxa"/>
            <w:vAlign w:val="center"/>
          </w:tcPr>
          <w:p>
            <w:pPr>
              <w:pStyle w:val="16"/>
            </w:pPr>
            <w:r>
              <w:t>4万元</w:t>
            </w:r>
          </w:p>
        </w:tc>
        <w:tc>
          <w:tcPr>
            <w:tcW w:w="3159" w:type="dxa"/>
            <w:vAlign w:val="center"/>
          </w:tcPr>
          <w:p>
            <w:pPr>
              <w:pStyle w:val="16"/>
            </w:pPr>
            <w:r>
              <w:t>实际按照国家下发图斑数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成本指标</w:t>
            </w:r>
          </w:p>
        </w:tc>
        <w:tc>
          <w:tcPr>
            <w:tcW w:w="2583" w:type="dxa"/>
            <w:vAlign w:val="center"/>
          </w:tcPr>
          <w:p>
            <w:pPr>
              <w:pStyle w:val="16"/>
            </w:pPr>
            <w:r>
              <w:t>林草湿调查监测</w:t>
            </w:r>
          </w:p>
        </w:tc>
        <w:tc>
          <w:tcPr>
            <w:tcW w:w="3624" w:type="dxa"/>
            <w:vAlign w:val="center"/>
          </w:tcPr>
          <w:p>
            <w:pPr>
              <w:pStyle w:val="16"/>
            </w:pPr>
            <w:r>
              <w:t>成本预算不高于24万</w:t>
            </w:r>
          </w:p>
        </w:tc>
        <w:tc>
          <w:tcPr>
            <w:tcW w:w="1773" w:type="dxa"/>
            <w:vAlign w:val="center"/>
          </w:tcPr>
          <w:p>
            <w:pPr>
              <w:pStyle w:val="16"/>
            </w:pPr>
            <w:r>
              <w:t>24万元</w:t>
            </w:r>
          </w:p>
        </w:tc>
        <w:tc>
          <w:tcPr>
            <w:tcW w:w="3159" w:type="dxa"/>
            <w:vAlign w:val="center"/>
          </w:tcPr>
          <w:p>
            <w:pPr>
              <w:pStyle w:val="16"/>
            </w:pPr>
            <w:r>
              <w:t>实际按照国家下发图斑数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成本指标</w:t>
            </w:r>
          </w:p>
        </w:tc>
        <w:tc>
          <w:tcPr>
            <w:tcW w:w="2583" w:type="dxa"/>
            <w:vAlign w:val="center"/>
          </w:tcPr>
          <w:p>
            <w:pPr>
              <w:pStyle w:val="16"/>
            </w:pPr>
            <w:r>
              <w:t>样地监测费</w:t>
            </w:r>
          </w:p>
        </w:tc>
        <w:tc>
          <w:tcPr>
            <w:tcW w:w="3624" w:type="dxa"/>
            <w:vAlign w:val="center"/>
          </w:tcPr>
          <w:p>
            <w:pPr>
              <w:pStyle w:val="16"/>
            </w:pPr>
            <w:r>
              <w:t>成本预算不高于6万</w:t>
            </w:r>
          </w:p>
        </w:tc>
        <w:tc>
          <w:tcPr>
            <w:tcW w:w="1773" w:type="dxa"/>
            <w:vAlign w:val="center"/>
          </w:tcPr>
          <w:p>
            <w:pPr>
              <w:pStyle w:val="16"/>
            </w:pPr>
            <w:r>
              <w:t>6万元</w:t>
            </w:r>
          </w:p>
        </w:tc>
        <w:tc>
          <w:tcPr>
            <w:tcW w:w="3159" w:type="dxa"/>
            <w:vAlign w:val="center"/>
          </w:tcPr>
          <w:p>
            <w:pPr>
              <w:pStyle w:val="16"/>
            </w:pPr>
            <w:r>
              <w:t>实际按照国家下发样地块数</w:t>
            </w:r>
          </w:p>
        </w:tc>
      </w:tr>
      <w:tr>
        <w:trPr>
          <w:trHeight w:val="397" w:hRule="atLeast"/>
          <w:jc w:val="center"/>
        </w:trPr>
        <w:tc>
          <w:tcPr>
            <w:tcW w:w="1910" w:type="dxa"/>
            <w:vMerge w:val="continue"/>
            <w:vAlign w:val="center"/>
          </w:tcPr>
          <w:p/>
        </w:tc>
        <w:tc>
          <w:tcPr>
            <w:tcW w:w="1747" w:type="dxa"/>
            <w:vAlign w:val="center"/>
          </w:tcPr>
          <w:p>
            <w:pPr>
              <w:pStyle w:val="16"/>
            </w:pPr>
            <w:r>
              <w:t>成本指标</w:t>
            </w:r>
          </w:p>
        </w:tc>
        <w:tc>
          <w:tcPr>
            <w:tcW w:w="2583" w:type="dxa"/>
            <w:vAlign w:val="center"/>
          </w:tcPr>
          <w:p>
            <w:pPr>
              <w:pStyle w:val="16"/>
            </w:pPr>
            <w:r>
              <w:t>森林督查图斑数量</w:t>
            </w:r>
          </w:p>
        </w:tc>
        <w:tc>
          <w:tcPr>
            <w:tcW w:w="3624" w:type="dxa"/>
            <w:vAlign w:val="center"/>
          </w:tcPr>
          <w:p>
            <w:pPr>
              <w:pStyle w:val="16"/>
            </w:pPr>
            <w:r>
              <w:t>成本预算不高于30.8万</w:t>
            </w:r>
          </w:p>
        </w:tc>
        <w:tc>
          <w:tcPr>
            <w:tcW w:w="1773" w:type="dxa"/>
            <w:vAlign w:val="center"/>
          </w:tcPr>
          <w:p>
            <w:pPr>
              <w:pStyle w:val="16"/>
            </w:pPr>
            <w:r>
              <w:t>30.8元</w:t>
            </w:r>
          </w:p>
        </w:tc>
        <w:tc>
          <w:tcPr>
            <w:tcW w:w="3159" w:type="dxa"/>
            <w:vAlign w:val="center"/>
          </w:tcPr>
          <w:p>
            <w:pPr>
              <w:pStyle w:val="16"/>
            </w:pPr>
            <w:r>
              <w:t>实际按照国家下发图斑数</w:t>
            </w:r>
          </w:p>
        </w:tc>
      </w:tr>
      <w:tr>
        <w:trPr>
          <w:trHeight w:val="397" w:hRule="atLeast"/>
          <w:jc w:val="center"/>
        </w:trPr>
        <w:tc>
          <w:tcPr>
            <w:tcW w:w="1910" w:type="dxa"/>
            <w:vMerge w:val="continue"/>
            <w:vAlign w:val="center"/>
          </w:tcPr>
          <w:p/>
        </w:tc>
        <w:tc>
          <w:tcPr>
            <w:tcW w:w="1747" w:type="dxa"/>
            <w:vAlign w:val="center"/>
          </w:tcPr>
          <w:p>
            <w:pPr>
              <w:pStyle w:val="16"/>
            </w:pPr>
            <w:r>
              <w:t>成本指标</w:t>
            </w:r>
          </w:p>
        </w:tc>
        <w:tc>
          <w:tcPr>
            <w:tcW w:w="2583" w:type="dxa"/>
            <w:vAlign w:val="center"/>
          </w:tcPr>
          <w:p>
            <w:pPr>
              <w:pStyle w:val="16"/>
            </w:pPr>
            <w:r>
              <w:t>国土空间造林绿化</w:t>
            </w:r>
          </w:p>
        </w:tc>
        <w:tc>
          <w:tcPr>
            <w:tcW w:w="3624" w:type="dxa"/>
            <w:vAlign w:val="center"/>
          </w:tcPr>
          <w:p>
            <w:pPr>
              <w:pStyle w:val="16"/>
            </w:pPr>
            <w:r>
              <w:t>成本预算不高于19.2</w:t>
            </w:r>
          </w:p>
        </w:tc>
        <w:tc>
          <w:tcPr>
            <w:tcW w:w="1773" w:type="dxa"/>
            <w:vAlign w:val="center"/>
          </w:tcPr>
          <w:p>
            <w:pPr>
              <w:pStyle w:val="16"/>
            </w:pPr>
            <w:r>
              <w:t>19.2万元</w:t>
            </w:r>
          </w:p>
        </w:tc>
        <w:tc>
          <w:tcPr>
            <w:tcW w:w="3159" w:type="dxa"/>
            <w:vAlign w:val="center"/>
          </w:tcPr>
          <w:p>
            <w:pPr>
              <w:pStyle w:val="16"/>
            </w:pPr>
            <w:r>
              <w:t>实际按照国家下发图斑数</w:t>
            </w:r>
          </w:p>
        </w:tc>
      </w:tr>
      <w:tr>
        <w:trPr>
          <w:trHeight w:val="397" w:hRule="atLeast"/>
          <w:jc w:val="center"/>
        </w:trPr>
        <w:tc>
          <w:tcPr>
            <w:tcW w:w="1910" w:type="dxa"/>
            <w:vMerge w:val="restart"/>
            <w:vAlign w:val="center"/>
          </w:tcPr>
          <w:p>
            <w:pPr>
              <w:pStyle w:val="17"/>
            </w:pPr>
            <w:r>
              <w:t>效益指标</w:t>
            </w:r>
          </w:p>
        </w:tc>
        <w:tc>
          <w:tcPr>
            <w:tcW w:w="1747" w:type="dxa"/>
            <w:vAlign w:val="center"/>
          </w:tcPr>
          <w:p>
            <w:pPr>
              <w:pStyle w:val="16"/>
            </w:pPr>
            <w:r>
              <w:t>社会效益指标</w:t>
            </w:r>
          </w:p>
        </w:tc>
        <w:tc>
          <w:tcPr>
            <w:tcW w:w="2583" w:type="dxa"/>
            <w:vAlign w:val="center"/>
          </w:tcPr>
          <w:p>
            <w:pPr>
              <w:pStyle w:val="16"/>
            </w:pPr>
            <w:r>
              <w:t>提高林草治理能力</w:t>
            </w:r>
          </w:p>
        </w:tc>
        <w:tc>
          <w:tcPr>
            <w:tcW w:w="3624" w:type="dxa"/>
            <w:vAlign w:val="center"/>
          </w:tcPr>
          <w:p>
            <w:pPr>
              <w:pStyle w:val="16"/>
            </w:pPr>
            <w:r>
              <w:t>通过项目开展，提高林草治理能力</w:t>
            </w:r>
          </w:p>
        </w:tc>
        <w:tc>
          <w:tcPr>
            <w:tcW w:w="1773" w:type="dxa"/>
            <w:vAlign w:val="center"/>
          </w:tcPr>
          <w:p>
            <w:pPr>
              <w:pStyle w:val="16"/>
            </w:pPr>
            <w:r>
              <w:t>有效提高</w:t>
            </w:r>
          </w:p>
        </w:tc>
        <w:tc>
          <w:tcPr>
            <w:tcW w:w="3159" w:type="dxa"/>
            <w:vAlign w:val="center"/>
          </w:tcPr>
          <w:p>
            <w:pPr>
              <w:pStyle w:val="16"/>
            </w:pPr>
            <w:r>
              <w:t>文件要求</w:t>
            </w:r>
          </w:p>
        </w:tc>
      </w:tr>
      <w:tr>
        <w:trPr>
          <w:trHeight w:val="397" w:hRule="atLeast"/>
          <w:jc w:val="center"/>
        </w:trPr>
        <w:tc>
          <w:tcPr>
            <w:tcW w:w="1910" w:type="dxa"/>
            <w:vMerge w:val="continue"/>
            <w:vAlign w:val="center"/>
          </w:tcPr>
          <w:p/>
        </w:tc>
        <w:tc>
          <w:tcPr>
            <w:tcW w:w="1747" w:type="dxa"/>
            <w:vAlign w:val="center"/>
          </w:tcPr>
          <w:p>
            <w:pPr>
              <w:pStyle w:val="16"/>
            </w:pPr>
            <w:r>
              <w:t>社会效益指标</w:t>
            </w:r>
          </w:p>
        </w:tc>
        <w:tc>
          <w:tcPr>
            <w:tcW w:w="2583" w:type="dxa"/>
            <w:vAlign w:val="center"/>
          </w:tcPr>
          <w:p>
            <w:pPr>
              <w:pStyle w:val="16"/>
            </w:pPr>
            <w:r>
              <w:t>对林业方面的社会效益</w:t>
            </w:r>
          </w:p>
        </w:tc>
        <w:tc>
          <w:tcPr>
            <w:tcW w:w="3624" w:type="dxa"/>
            <w:vAlign w:val="center"/>
          </w:tcPr>
          <w:p>
            <w:pPr>
              <w:pStyle w:val="16"/>
            </w:pPr>
            <w:r>
              <w:t>全面掌握违法违规破坏森林资源情况，及时处理违法情况。</w:t>
            </w:r>
          </w:p>
        </w:tc>
        <w:tc>
          <w:tcPr>
            <w:tcW w:w="1773" w:type="dxa"/>
            <w:vAlign w:val="center"/>
          </w:tcPr>
          <w:p>
            <w:pPr>
              <w:pStyle w:val="16"/>
            </w:pPr>
            <w:r>
              <w:t>有效掌握</w:t>
            </w:r>
          </w:p>
        </w:tc>
        <w:tc>
          <w:tcPr>
            <w:tcW w:w="3159" w:type="dxa"/>
            <w:vAlign w:val="center"/>
          </w:tcPr>
          <w:p>
            <w:pPr>
              <w:pStyle w:val="16"/>
            </w:pPr>
            <w:r>
              <w:t>文件要求</w:t>
            </w:r>
          </w:p>
        </w:tc>
      </w:tr>
      <w:tr>
        <w:trPr>
          <w:trHeight w:val="397" w:hRule="atLeast"/>
          <w:jc w:val="center"/>
        </w:trPr>
        <w:tc>
          <w:tcPr>
            <w:tcW w:w="1910" w:type="dxa"/>
            <w:vMerge w:val="continue"/>
            <w:vAlign w:val="center"/>
          </w:tcPr>
          <w:p/>
        </w:tc>
        <w:tc>
          <w:tcPr>
            <w:tcW w:w="1747" w:type="dxa"/>
            <w:vAlign w:val="center"/>
          </w:tcPr>
          <w:p>
            <w:pPr>
              <w:pStyle w:val="16"/>
            </w:pPr>
            <w:r>
              <w:t>生态效益指标</w:t>
            </w:r>
          </w:p>
        </w:tc>
        <w:tc>
          <w:tcPr>
            <w:tcW w:w="2583" w:type="dxa"/>
            <w:vAlign w:val="center"/>
          </w:tcPr>
          <w:p>
            <w:pPr>
              <w:pStyle w:val="16"/>
            </w:pPr>
            <w:r>
              <w:t>优化林草治理体系</w:t>
            </w:r>
          </w:p>
        </w:tc>
        <w:tc>
          <w:tcPr>
            <w:tcW w:w="3624" w:type="dxa"/>
            <w:vAlign w:val="center"/>
          </w:tcPr>
          <w:p>
            <w:pPr>
              <w:pStyle w:val="16"/>
            </w:pPr>
            <w:r>
              <w:t>为实现林业草原国家公园“三位一体”高质量融合发展、施行生态文明建设目标评价考核、推动林草治理体系和治理能力现代化提供信息服务。</w:t>
            </w:r>
          </w:p>
        </w:tc>
        <w:tc>
          <w:tcPr>
            <w:tcW w:w="1773" w:type="dxa"/>
            <w:vAlign w:val="center"/>
          </w:tcPr>
          <w:p>
            <w:pPr>
              <w:pStyle w:val="16"/>
            </w:pPr>
            <w:r>
              <w:t>有效优化</w:t>
            </w:r>
          </w:p>
        </w:tc>
        <w:tc>
          <w:tcPr>
            <w:tcW w:w="3159" w:type="dxa"/>
            <w:vAlign w:val="center"/>
          </w:tcPr>
          <w:p>
            <w:pPr>
              <w:pStyle w:val="16"/>
            </w:pPr>
            <w:r>
              <w:t>文件要求</w:t>
            </w:r>
          </w:p>
        </w:tc>
      </w:tr>
      <w:tr>
        <w:trPr>
          <w:trHeight w:val="397" w:hRule="atLeast"/>
          <w:jc w:val="center"/>
        </w:trPr>
        <w:tc>
          <w:tcPr>
            <w:tcW w:w="1910" w:type="dxa"/>
            <w:vMerge w:val="continue"/>
            <w:vAlign w:val="center"/>
          </w:tcPr>
          <w:p/>
        </w:tc>
        <w:tc>
          <w:tcPr>
            <w:tcW w:w="1747" w:type="dxa"/>
            <w:vAlign w:val="center"/>
          </w:tcPr>
          <w:p>
            <w:pPr>
              <w:pStyle w:val="16"/>
            </w:pPr>
            <w:r>
              <w:t>生态效益指标</w:t>
            </w:r>
          </w:p>
        </w:tc>
        <w:tc>
          <w:tcPr>
            <w:tcW w:w="2583" w:type="dxa"/>
            <w:vAlign w:val="center"/>
          </w:tcPr>
          <w:p>
            <w:pPr>
              <w:pStyle w:val="16"/>
            </w:pPr>
            <w:r>
              <w:t>促进生态文明建设</w:t>
            </w:r>
          </w:p>
        </w:tc>
        <w:tc>
          <w:tcPr>
            <w:tcW w:w="3624" w:type="dxa"/>
            <w:vAlign w:val="center"/>
          </w:tcPr>
          <w:p>
            <w:pPr>
              <w:pStyle w:val="16"/>
            </w:pPr>
            <w:r>
              <w:t>推进森林资源常态化、动态化、规范化管理，为森林资源保护管理及生态文明建设重大决策提供科学依据。</w:t>
            </w:r>
          </w:p>
        </w:tc>
        <w:tc>
          <w:tcPr>
            <w:tcW w:w="1773" w:type="dxa"/>
            <w:vAlign w:val="center"/>
          </w:tcPr>
          <w:p>
            <w:pPr>
              <w:pStyle w:val="16"/>
            </w:pPr>
            <w:r>
              <w:t>促进</w:t>
            </w:r>
          </w:p>
        </w:tc>
        <w:tc>
          <w:tcPr>
            <w:tcW w:w="3159" w:type="dxa"/>
            <w:vAlign w:val="center"/>
          </w:tcPr>
          <w:p>
            <w:pPr>
              <w:pStyle w:val="16"/>
            </w:pPr>
            <w:r>
              <w:t>文件要求</w:t>
            </w:r>
          </w:p>
        </w:tc>
      </w:tr>
      <w:tr>
        <w:trPr>
          <w:trHeight w:val="397" w:hRule="atLeast"/>
          <w:jc w:val="center"/>
        </w:trPr>
        <w:tc>
          <w:tcPr>
            <w:tcW w:w="1910" w:type="dxa"/>
            <w:vMerge w:val="restart"/>
            <w:vAlign w:val="center"/>
          </w:tcPr>
          <w:p>
            <w:pPr>
              <w:pStyle w:val="17"/>
            </w:pPr>
            <w:r>
              <w:t>满意度指标</w:t>
            </w:r>
          </w:p>
        </w:tc>
        <w:tc>
          <w:tcPr>
            <w:tcW w:w="1747" w:type="dxa"/>
            <w:vAlign w:val="center"/>
          </w:tcPr>
          <w:p>
            <w:pPr>
              <w:pStyle w:val="16"/>
            </w:pPr>
            <w:r>
              <w:t>服务对象满意度指标</w:t>
            </w:r>
          </w:p>
        </w:tc>
        <w:tc>
          <w:tcPr>
            <w:tcW w:w="2583" w:type="dxa"/>
            <w:vAlign w:val="center"/>
          </w:tcPr>
          <w:p>
            <w:pPr>
              <w:pStyle w:val="16"/>
            </w:pPr>
            <w:r>
              <w:t>甲方满意度</w:t>
            </w:r>
          </w:p>
        </w:tc>
        <w:tc>
          <w:tcPr>
            <w:tcW w:w="3624" w:type="dxa"/>
            <w:vAlign w:val="center"/>
          </w:tcPr>
          <w:p>
            <w:pPr>
              <w:pStyle w:val="16"/>
            </w:pPr>
            <w:r>
              <w:t>科室满意人数/调查总人数*100%</w:t>
            </w:r>
          </w:p>
        </w:tc>
        <w:tc>
          <w:tcPr>
            <w:tcW w:w="1773" w:type="dxa"/>
            <w:vAlign w:val="center"/>
          </w:tcPr>
          <w:p>
            <w:pPr>
              <w:pStyle w:val="16"/>
            </w:pPr>
            <w:r>
              <w:t>≥90%</w:t>
            </w:r>
          </w:p>
        </w:tc>
        <w:tc>
          <w:tcPr>
            <w:tcW w:w="3159" w:type="dxa"/>
            <w:vAlign w:val="center"/>
          </w:tcPr>
          <w:p>
            <w:pPr>
              <w:pStyle w:val="16"/>
            </w:pPr>
            <w:r>
              <w:t>问卷调查</w:t>
            </w:r>
          </w:p>
        </w:tc>
      </w:tr>
      <w:tr>
        <w:trPr>
          <w:trHeight w:val="397" w:hRule="atLeast"/>
          <w:jc w:val="center"/>
        </w:trPr>
        <w:tc>
          <w:tcPr>
            <w:tcW w:w="1910" w:type="dxa"/>
            <w:vMerge w:val="continue"/>
            <w:vAlign w:val="center"/>
          </w:tcPr>
          <w:p/>
        </w:tc>
        <w:tc>
          <w:tcPr>
            <w:tcW w:w="1747" w:type="dxa"/>
            <w:vAlign w:val="center"/>
          </w:tcPr>
          <w:p>
            <w:pPr>
              <w:pStyle w:val="16"/>
            </w:pPr>
            <w:r>
              <w:t>服务对象满意度指标</w:t>
            </w:r>
          </w:p>
        </w:tc>
        <w:tc>
          <w:tcPr>
            <w:tcW w:w="2583" w:type="dxa"/>
            <w:vAlign w:val="center"/>
          </w:tcPr>
          <w:p>
            <w:pPr>
              <w:pStyle w:val="16"/>
            </w:pPr>
            <w:r>
              <w:t>验收部门满意度</w:t>
            </w:r>
          </w:p>
        </w:tc>
        <w:tc>
          <w:tcPr>
            <w:tcW w:w="3624" w:type="dxa"/>
            <w:vAlign w:val="center"/>
          </w:tcPr>
          <w:p>
            <w:pPr>
              <w:pStyle w:val="16"/>
            </w:pPr>
            <w:r>
              <w:t>满意人数/调查总人数*100%</w:t>
            </w:r>
          </w:p>
        </w:tc>
        <w:tc>
          <w:tcPr>
            <w:tcW w:w="1773" w:type="dxa"/>
            <w:vAlign w:val="center"/>
          </w:tcPr>
          <w:p>
            <w:pPr>
              <w:pStyle w:val="16"/>
            </w:pPr>
            <w:r>
              <w:t>≥90%</w:t>
            </w:r>
          </w:p>
        </w:tc>
        <w:tc>
          <w:tcPr>
            <w:tcW w:w="3159"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33、IS014001环境管理体系项目绩效目标表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1.通过项目开展，确保ISO14001环境管理体系正常运行，确保通过国家认可的环境管理体系认证机构的认证审核，确保环境管理体系认证证书合法有效。</w:t>
            </w:r>
          </w:p>
          <w:p>
            <w:pPr>
              <w:pStyle w:val="16"/>
            </w:pPr>
            <w:r>
              <w:t>2.通过项目完成，提高临空经济区（廊坊）环境管理体系管理水平，确保体系依法依规有效运行，通过认证机构审核，保持环境管理体系认证证书有效性。</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448"/>
        <w:gridCol w:w="3484"/>
      </w:tblGrid>
      <w:tr>
        <w:trPr>
          <w:trHeight w:val="56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1448" w:type="dxa"/>
            <w:vAlign w:val="center"/>
          </w:tcPr>
          <w:p>
            <w:pPr>
              <w:pStyle w:val="14"/>
            </w:pPr>
            <w:r>
              <w:t>指标值</w:t>
            </w:r>
          </w:p>
        </w:tc>
        <w:tc>
          <w:tcPr>
            <w:tcW w:w="3484" w:type="dxa"/>
            <w:vAlign w:val="center"/>
          </w:tcPr>
          <w:p>
            <w:pPr>
              <w:pStyle w:val="14"/>
            </w:pPr>
            <w:r>
              <w:t>指标值确定依据</w:t>
            </w:r>
          </w:p>
        </w:tc>
      </w:tr>
      <w:tr>
        <w:trPr>
          <w:trHeight w:val="56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完成园区环境管理体系成员单位运行资料审核</w:t>
            </w:r>
          </w:p>
        </w:tc>
        <w:tc>
          <w:tcPr>
            <w:tcW w:w="2466" w:type="dxa"/>
            <w:vAlign w:val="center"/>
          </w:tcPr>
          <w:p>
            <w:pPr>
              <w:pStyle w:val="16"/>
            </w:pPr>
            <w:r>
              <w:t>环境管理体系成员单位全部准备备查资料</w:t>
            </w:r>
          </w:p>
        </w:tc>
        <w:tc>
          <w:tcPr>
            <w:tcW w:w="1448" w:type="dxa"/>
            <w:vAlign w:val="center"/>
          </w:tcPr>
          <w:p>
            <w:pPr>
              <w:pStyle w:val="16"/>
            </w:pPr>
            <w:r>
              <w:t>1次</w:t>
            </w:r>
          </w:p>
        </w:tc>
        <w:tc>
          <w:tcPr>
            <w:tcW w:w="3484" w:type="dxa"/>
            <w:vAlign w:val="center"/>
          </w:tcPr>
          <w:p>
            <w:pPr>
              <w:pStyle w:val="16"/>
            </w:pPr>
            <w:r>
              <w:t>《环境管理体系要求及使用指南》（GB/T24001:2016/ISO14001:2015）</w:t>
            </w:r>
          </w:p>
        </w:tc>
      </w:tr>
      <w:tr>
        <w:trPr>
          <w:trHeight w:val="56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环境管理体系内审员培训</w:t>
            </w:r>
          </w:p>
        </w:tc>
        <w:tc>
          <w:tcPr>
            <w:tcW w:w="2466" w:type="dxa"/>
            <w:vAlign w:val="center"/>
          </w:tcPr>
          <w:p>
            <w:pPr>
              <w:pStyle w:val="16"/>
            </w:pPr>
            <w:r>
              <w:t>实际参训人数/应参训人数*100%</w:t>
            </w:r>
          </w:p>
        </w:tc>
        <w:tc>
          <w:tcPr>
            <w:tcW w:w="1448" w:type="dxa"/>
            <w:vAlign w:val="center"/>
          </w:tcPr>
          <w:p>
            <w:pPr>
              <w:pStyle w:val="16"/>
            </w:pPr>
            <w:r>
              <w:t>1次</w:t>
            </w:r>
          </w:p>
        </w:tc>
        <w:tc>
          <w:tcPr>
            <w:tcW w:w="3484" w:type="dxa"/>
            <w:vAlign w:val="center"/>
          </w:tcPr>
          <w:p>
            <w:pPr>
              <w:pStyle w:val="16"/>
            </w:pPr>
            <w:r>
              <w:t>《环境管理体系要求及使用指南》（GB/T24001:2016/ISO14001:2015）</w:t>
            </w:r>
          </w:p>
        </w:tc>
      </w:tr>
      <w:tr>
        <w:trPr>
          <w:trHeight w:val="56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完成认证机构监督审核</w:t>
            </w:r>
          </w:p>
        </w:tc>
        <w:tc>
          <w:tcPr>
            <w:tcW w:w="2466" w:type="dxa"/>
            <w:vAlign w:val="center"/>
          </w:tcPr>
          <w:p>
            <w:pPr>
              <w:pStyle w:val="16"/>
            </w:pPr>
            <w:r>
              <w:t>通过认证</w:t>
            </w:r>
          </w:p>
        </w:tc>
        <w:tc>
          <w:tcPr>
            <w:tcW w:w="1448" w:type="dxa"/>
            <w:vAlign w:val="center"/>
          </w:tcPr>
          <w:p>
            <w:pPr>
              <w:pStyle w:val="16"/>
            </w:pPr>
            <w:r>
              <w:t>1次</w:t>
            </w:r>
          </w:p>
        </w:tc>
        <w:tc>
          <w:tcPr>
            <w:tcW w:w="3484" w:type="dxa"/>
            <w:vAlign w:val="center"/>
          </w:tcPr>
          <w:p>
            <w:pPr>
              <w:pStyle w:val="16"/>
            </w:pPr>
            <w:r>
              <w:t>《环境管理体系要求及使用指南》（GB/T24001:2016/ISO14001:2015）</w:t>
            </w:r>
          </w:p>
        </w:tc>
      </w:tr>
      <w:tr>
        <w:trPr>
          <w:trHeight w:val="56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环境管理体系成员单位准备运行资料合格</w:t>
            </w:r>
          </w:p>
        </w:tc>
        <w:tc>
          <w:tcPr>
            <w:tcW w:w="2466" w:type="dxa"/>
            <w:vAlign w:val="center"/>
          </w:tcPr>
          <w:p>
            <w:pPr>
              <w:pStyle w:val="16"/>
            </w:pPr>
            <w:r>
              <w:t>环境管理体系成员单位准备运行资料全部合格</w:t>
            </w:r>
          </w:p>
        </w:tc>
        <w:tc>
          <w:tcPr>
            <w:tcW w:w="1448" w:type="dxa"/>
            <w:vAlign w:val="center"/>
          </w:tcPr>
          <w:p>
            <w:pPr>
              <w:pStyle w:val="16"/>
            </w:pPr>
            <w:r>
              <w:t>100％</w:t>
            </w:r>
          </w:p>
        </w:tc>
        <w:tc>
          <w:tcPr>
            <w:tcW w:w="3484" w:type="dxa"/>
            <w:vAlign w:val="center"/>
          </w:tcPr>
          <w:p>
            <w:pPr>
              <w:pStyle w:val="16"/>
            </w:pPr>
            <w:r>
              <w:t>《环境管理体系要求及使用指南》（GB/T24001:2016/ISO14001:2015）</w:t>
            </w:r>
          </w:p>
        </w:tc>
      </w:tr>
      <w:tr>
        <w:trPr>
          <w:trHeight w:val="56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完成环境管理体系监督审核</w:t>
            </w:r>
          </w:p>
        </w:tc>
        <w:tc>
          <w:tcPr>
            <w:tcW w:w="2466" w:type="dxa"/>
            <w:vAlign w:val="center"/>
          </w:tcPr>
          <w:p>
            <w:pPr>
              <w:pStyle w:val="16"/>
            </w:pPr>
            <w:r>
              <w:t>通过认证，保持证书有效性</w:t>
            </w:r>
          </w:p>
        </w:tc>
        <w:tc>
          <w:tcPr>
            <w:tcW w:w="1448" w:type="dxa"/>
            <w:vAlign w:val="center"/>
          </w:tcPr>
          <w:p>
            <w:pPr>
              <w:pStyle w:val="16"/>
            </w:pPr>
            <w:r>
              <w:t>通过</w:t>
            </w:r>
          </w:p>
        </w:tc>
        <w:tc>
          <w:tcPr>
            <w:tcW w:w="3484" w:type="dxa"/>
            <w:vAlign w:val="center"/>
          </w:tcPr>
          <w:p>
            <w:pPr>
              <w:pStyle w:val="16"/>
            </w:pPr>
            <w:r>
              <w:t>《环境管理体系要求及使用指南》（GB/T24001:2016/ISO14001:2015）</w:t>
            </w:r>
          </w:p>
        </w:tc>
      </w:tr>
      <w:tr>
        <w:trPr>
          <w:trHeight w:val="56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按时完成2023度审核</w:t>
            </w:r>
          </w:p>
        </w:tc>
        <w:tc>
          <w:tcPr>
            <w:tcW w:w="2466" w:type="dxa"/>
            <w:vAlign w:val="center"/>
          </w:tcPr>
          <w:p>
            <w:pPr>
              <w:pStyle w:val="16"/>
            </w:pPr>
            <w:r>
              <w:t>实际完成合同要求，按时完成相关工作</w:t>
            </w:r>
          </w:p>
        </w:tc>
        <w:tc>
          <w:tcPr>
            <w:tcW w:w="1448" w:type="dxa"/>
            <w:vAlign w:val="center"/>
          </w:tcPr>
          <w:p>
            <w:pPr>
              <w:pStyle w:val="16"/>
            </w:pPr>
            <w:r>
              <w:t>按时</w:t>
            </w:r>
          </w:p>
        </w:tc>
        <w:tc>
          <w:tcPr>
            <w:tcW w:w="3484" w:type="dxa"/>
            <w:vAlign w:val="center"/>
          </w:tcPr>
          <w:p>
            <w:pPr>
              <w:pStyle w:val="16"/>
            </w:pPr>
            <w:r>
              <w:t>合同标的</w:t>
            </w:r>
          </w:p>
        </w:tc>
      </w:tr>
      <w:tr>
        <w:trPr>
          <w:trHeight w:val="56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专家咨询费</w:t>
            </w:r>
          </w:p>
        </w:tc>
        <w:tc>
          <w:tcPr>
            <w:tcW w:w="2466" w:type="dxa"/>
            <w:vAlign w:val="center"/>
          </w:tcPr>
          <w:p>
            <w:pPr>
              <w:pStyle w:val="16"/>
            </w:pPr>
            <w:r>
              <w:t>项目采购费用</w:t>
            </w:r>
          </w:p>
        </w:tc>
        <w:tc>
          <w:tcPr>
            <w:tcW w:w="1448" w:type="dxa"/>
            <w:vAlign w:val="center"/>
          </w:tcPr>
          <w:p>
            <w:pPr>
              <w:pStyle w:val="16"/>
            </w:pPr>
            <w:r>
              <w:t>≤0.6万元</w:t>
            </w:r>
          </w:p>
        </w:tc>
        <w:tc>
          <w:tcPr>
            <w:tcW w:w="3484" w:type="dxa"/>
            <w:vAlign w:val="center"/>
          </w:tcPr>
          <w:p>
            <w:pPr>
              <w:pStyle w:val="16"/>
            </w:pPr>
            <w:r>
              <w:t>合同标的</w:t>
            </w:r>
          </w:p>
        </w:tc>
      </w:tr>
      <w:tr>
        <w:trPr>
          <w:trHeight w:val="56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内审员证书费用</w:t>
            </w:r>
          </w:p>
        </w:tc>
        <w:tc>
          <w:tcPr>
            <w:tcW w:w="2466" w:type="dxa"/>
            <w:vAlign w:val="center"/>
          </w:tcPr>
          <w:p>
            <w:pPr>
              <w:pStyle w:val="16"/>
            </w:pPr>
            <w:r>
              <w:t>项目采购费用</w:t>
            </w:r>
          </w:p>
        </w:tc>
        <w:tc>
          <w:tcPr>
            <w:tcW w:w="1448" w:type="dxa"/>
            <w:vAlign w:val="center"/>
          </w:tcPr>
          <w:p>
            <w:pPr>
              <w:pStyle w:val="16"/>
            </w:pPr>
            <w:r>
              <w:t>≤0.4万元</w:t>
            </w:r>
          </w:p>
        </w:tc>
        <w:tc>
          <w:tcPr>
            <w:tcW w:w="3484" w:type="dxa"/>
            <w:vAlign w:val="center"/>
          </w:tcPr>
          <w:p>
            <w:pPr>
              <w:pStyle w:val="16"/>
            </w:pPr>
            <w:r>
              <w:t>合同标的</w:t>
            </w:r>
          </w:p>
        </w:tc>
      </w:tr>
      <w:tr>
        <w:trPr>
          <w:trHeight w:val="56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指导内审</w:t>
            </w:r>
          </w:p>
        </w:tc>
        <w:tc>
          <w:tcPr>
            <w:tcW w:w="2466" w:type="dxa"/>
            <w:vAlign w:val="center"/>
          </w:tcPr>
          <w:p>
            <w:pPr>
              <w:pStyle w:val="16"/>
            </w:pPr>
            <w:r>
              <w:t>项目采购费用</w:t>
            </w:r>
          </w:p>
        </w:tc>
        <w:tc>
          <w:tcPr>
            <w:tcW w:w="1448" w:type="dxa"/>
            <w:vAlign w:val="center"/>
          </w:tcPr>
          <w:p>
            <w:pPr>
              <w:pStyle w:val="16"/>
            </w:pPr>
            <w:r>
              <w:t>≤1.5万元</w:t>
            </w:r>
          </w:p>
        </w:tc>
        <w:tc>
          <w:tcPr>
            <w:tcW w:w="3484" w:type="dxa"/>
            <w:vAlign w:val="center"/>
          </w:tcPr>
          <w:p>
            <w:pPr>
              <w:pStyle w:val="16"/>
            </w:pPr>
            <w:r>
              <w:t>合同标的</w:t>
            </w:r>
          </w:p>
        </w:tc>
      </w:tr>
      <w:tr>
        <w:trPr>
          <w:trHeight w:val="56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体系文件制定</w:t>
            </w:r>
          </w:p>
        </w:tc>
        <w:tc>
          <w:tcPr>
            <w:tcW w:w="2466" w:type="dxa"/>
            <w:vAlign w:val="center"/>
          </w:tcPr>
          <w:p>
            <w:pPr>
              <w:pStyle w:val="16"/>
            </w:pPr>
            <w:r>
              <w:t>项目采购费用</w:t>
            </w:r>
          </w:p>
        </w:tc>
        <w:tc>
          <w:tcPr>
            <w:tcW w:w="1448" w:type="dxa"/>
            <w:vAlign w:val="center"/>
          </w:tcPr>
          <w:p>
            <w:pPr>
              <w:pStyle w:val="16"/>
            </w:pPr>
            <w:r>
              <w:t>≤2万元</w:t>
            </w:r>
          </w:p>
        </w:tc>
        <w:tc>
          <w:tcPr>
            <w:tcW w:w="3484" w:type="dxa"/>
            <w:vAlign w:val="center"/>
          </w:tcPr>
          <w:p>
            <w:pPr>
              <w:pStyle w:val="16"/>
            </w:pPr>
            <w:r>
              <w:t>合同标的</w:t>
            </w:r>
          </w:p>
        </w:tc>
      </w:tr>
      <w:tr>
        <w:trPr>
          <w:trHeight w:val="56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审核认证</w:t>
            </w:r>
          </w:p>
        </w:tc>
        <w:tc>
          <w:tcPr>
            <w:tcW w:w="2466" w:type="dxa"/>
            <w:vAlign w:val="center"/>
          </w:tcPr>
          <w:p>
            <w:pPr>
              <w:pStyle w:val="16"/>
            </w:pPr>
            <w:r>
              <w:t>项目采购费用</w:t>
            </w:r>
          </w:p>
        </w:tc>
        <w:tc>
          <w:tcPr>
            <w:tcW w:w="1448" w:type="dxa"/>
            <w:vAlign w:val="center"/>
          </w:tcPr>
          <w:p>
            <w:pPr>
              <w:pStyle w:val="16"/>
            </w:pPr>
            <w:r>
              <w:t>≤4.5万元</w:t>
            </w:r>
          </w:p>
        </w:tc>
        <w:tc>
          <w:tcPr>
            <w:tcW w:w="3484" w:type="dxa"/>
            <w:vAlign w:val="center"/>
          </w:tcPr>
          <w:p>
            <w:pPr>
              <w:pStyle w:val="16"/>
            </w:pPr>
            <w:r>
              <w:t>合同标的</w:t>
            </w:r>
          </w:p>
        </w:tc>
      </w:tr>
      <w:tr>
        <w:trPr>
          <w:trHeight w:val="56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促进可持续发展</w:t>
            </w:r>
          </w:p>
        </w:tc>
        <w:tc>
          <w:tcPr>
            <w:tcW w:w="2466" w:type="dxa"/>
            <w:vAlign w:val="center"/>
          </w:tcPr>
          <w:p>
            <w:pPr>
              <w:pStyle w:val="16"/>
            </w:pPr>
            <w:r>
              <w:t>促进全区环境管理体系持续运行</w:t>
            </w:r>
          </w:p>
        </w:tc>
        <w:tc>
          <w:tcPr>
            <w:tcW w:w="1448" w:type="dxa"/>
            <w:vAlign w:val="center"/>
          </w:tcPr>
          <w:p>
            <w:pPr>
              <w:pStyle w:val="16"/>
            </w:pPr>
            <w:r>
              <w:t>持续</w:t>
            </w:r>
          </w:p>
        </w:tc>
        <w:tc>
          <w:tcPr>
            <w:tcW w:w="3484" w:type="dxa"/>
            <w:vAlign w:val="center"/>
          </w:tcPr>
          <w:p>
            <w:pPr>
              <w:pStyle w:val="16"/>
            </w:pPr>
            <w:r>
              <w:t>满意度调查问卷</w:t>
            </w:r>
          </w:p>
        </w:tc>
      </w:tr>
      <w:tr>
        <w:trPr>
          <w:trHeight w:val="56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环境管理体系正常运转</w:t>
            </w:r>
          </w:p>
        </w:tc>
        <w:tc>
          <w:tcPr>
            <w:tcW w:w="2466" w:type="dxa"/>
            <w:vAlign w:val="center"/>
          </w:tcPr>
          <w:p>
            <w:pPr>
              <w:pStyle w:val="16"/>
            </w:pPr>
            <w:r>
              <w:t>提高全区环境管理水平</w:t>
            </w:r>
          </w:p>
        </w:tc>
        <w:tc>
          <w:tcPr>
            <w:tcW w:w="1448" w:type="dxa"/>
            <w:vAlign w:val="center"/>
          </w:tcPr>
          <w:p>
            <w:pPr>
              <w:pStyle w:val="16"/>
            </w:pPr>
            <w:r>
              <w:t>提高</w:t>
            </w:r>
          </w:p>
        </w:tc>
        <w:tc>
          <w:tcPr>
            <w:tcW w:w="3484" w:type="dxa"/>
            <w:vAlign w:val="center"/>
          </w:tcPr>
          <w:p>
            <w:pPr>
              <w:pStyle w:val="16"/>
            </w:pPr>
            <w:r>
              <w:t>满意度调查问卷</w:t>
            </w:r>
          </w:p>
        </w:tc>
      </w:tr>
      <w:tr>
        <w:trPr>
          <w:trHeight w:val="56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促进全区环境质量提高</w:t>
            </w:r>
          </w:p>
        </w:tc>
        <w:tc>
          <w:tcPr>
            <w:tcW w:w="2466" w:type="dxa"/>
            <w:vAlign w:val="center"/>
          </w:tcPr>
          <w:p>
            <w:pPr>
              <w:pStyle w:val="16"/>
            </w:pPr>
            <w:r>
              <w:t>提高生态环境质量</w:t>
            </w:r>
          </w:p>
        </w:tc>
        <w:tc>
          <w:tcPr>
            <w:tcW w:w="1448" w:type="dxa"/>
            <w:vAlign w:val="center"/>
          </w:tcPr>
          <w:p>
            <w:pPr>
              <w:pStyle w:val="16"/>
            </w:pPr>
            <w:r>
              <w:t>提高</w:t>
            </w:r>
          </w:p>
        </w:tc>
        <w:tc>
          <w:tcPr>
            <w:tcW w:w="3484" w:type="dxa"/>
            <w:vAlign w:val="center"/>
          </w:tcPr>
          <w:p>
            <w:pPr>
              <w:pStyle w:val="16"/>
            </w:pPr>
            <w:r>
              <w:t>满意度调查问卷</w:t>
            </w:r>
          </w:p>
        </w:tc>
      </w:tr>
      <w:tr>
        <w:trPr>
          <w:trHeight w:val="56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环境管理体系成员单位对认证工作满意度</w:t>
            </w:r>
          </w:p>
        </w:tc>
        <w:tc>
          <w:tcPr>
            <w:tcW w:w="2466" w:type="dxa"/>
            <w:vAlign w:val="center"/>
          </w:tcPr>
          <w:p>
            <w:pPr>
              <w:pStyle w:val="16"/>
            </w:pPr>
            <w:r>
              <w:t>效果满意人数/参与问卷总人数×100%</w:t>
            </w:r>
          </w:p>
        </w:tc>
        <w:tc>
          <w:tcPr>
            <w:tcW w:w="1448" w:type="dxa"/>
            <w:vAlign w:val="center"/>
          </w:tcPr>
          <w:p>
            <w:pPr>
              <w:pStyle w:val="16"/>
            </w:pPr>
            <w:r>
              <w:t>≥90％</w:t>
            </w:r>
          </w:p>
        </w:tc>
        <w:tc>
          <w:tcPr>
            <w:tcW w:w="3484"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34、“十四五”公共服务规划项目绩效目标表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贯彻落实党中央、国务院决策部署的重要举措，健全完善廊坊临空经济区公共服务体系，推动公共服务高质量发展，加快补齐基本公共服务短板，扩大公共服务供给，全面提升公共服务整体质量和水平，增强人民群众获得感、幸福感、安全感。</w:t>
            </w:r>
          </w:p>
          <w:p>
            <w:pPr>
              <w:pStyle w:val="16"/>
            </w:pPr>
            <w:r>
              <w:t>2.通过项目的有序开展，于2023年底完成《廊坊临空经济区“十四五”公共服务规划》编制工作。我单位将严格控制项目成本，于2023年12月底前完成本项目，编制成果评审合格率达到100%。通过项目的开展，形成成果文件，推动高质量发展，提升部门工作效率，完善临空区公共服务制度体系，并使本项目社会公众满意度达到90%以上。</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26"/>
        <w:gridCol w:w="2227"/>
        <w:gridCol w:w="3773"/>
        <w:gridCol w:w="1838"/>
        <w:gridCol w:w="2466"/>
      </w:tblGrid>
      <w:tr>
        <w:trPr>
          <w:trHeight w:val="397" w:hRule="atLeast"/>
          <w:tblHeader/>
          <w:jc w:val="center"/>
        </w:trPr>
        <w:tc>
          <w:tcPr>
            <w:tcW w:w="2466" w:type="dxa"/>
            <w:vAlign w:val="center"/>
          </w:tcPr>
          <w:p>
            <w:pPr>
              <w:pStyle w:val="14"/>
            </w:pPr>
            <w:r>
              <w:t>一级指标</w:t>
            </w:r>
          </w:p>
        </w:tc>
        <w:tc>
          <w:tcPr>
            <w:tcW w:w="2026" w:type="dxa"/>
            <w:vAlign w:val="center"/>
          </w:tcPr>
          <w:p>
            <w:pPr>
              <w:pStyle w:val="14"/>
            </w:pPr>
            <w:r>
              <w:t>二级指标</w:t>
            </w:r>
          </w:p>
        </w:tc>
        <w:tc>
          <w:tcPr>
            <w:tcW w:w="2227" w:type="dxa"/>
            <w:vAlign w:val="center"/>
          </w:tcPr>
          <w:p>
            <w:pPr>
              <w:pStyle w:val="14"/>
            </w:pPr>
            <w:r>
              <w:t>三级指标</w:t>
            </w:r>
          </w:p>
        </w:tc>
        <w:tc>
          <w:tcPr>
            <w:tcW w:w="3773" w:type="dxa"/>
            <w:vAlign w:val="center"/>
          </w:tcPr>
          <w:p>
            <w:pPr>
              <w:pStyle w:val="14"/>
            </w:pPr>
            <w:r>
              <w:t>绩效指标描述</w:t>
            </w:r>
          </w:p>
        </w:tc>
        <w:tc>
          <w:tcPr>
            <w:tcW w:w="1838"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026" w:type="dxa"/>
            <w:vAlign w:val="center"/>
          </w:tcPr>
          <w:p>
            <w:pPr>
              <w:pStyle w:val="16"/>
            </w:pPr>
            <w:r>
              <w:t>数量指标</w:t>
            </w:r>
          </w:p>
        </w:tc>
        <w:tc>
          <w:tcPr>
            <w:tcW w:w="2227" w:type="dxa"/>
            <w:vAlign w:val="center"/>
          </w:tcPr>
          <w:p>
            <w:pPr>
              <w:pStyle w:val="16"/>
            </w:pPr>
            <w:r>
              <w:t>成果数量</w:t>
            </w:r>
          </w:p>
        </w:tc>
        <w:tc>
          <w:tcPr>
            <w:tcW w:w="3773" w:type="dxa"/>
            <w:vAlign w:val="center"/>
          </w:tcPr>
          <w:p>
            <w:pPr>
              <w:pStyle w:val="16"/>
            </w:pPr>
            <w:r>
              <w:t>提交8套成果</w:t>
            </w:r>
          </w:p>
        </w:tc>
        <w:tc>
          <w:tcPr>
            <w:tcW w:w="1838" w:type="dxa"/>
            <w:vAlign w:val="center"/>
          </w:tcPr>
          <w:p>
            <w:pPr>
              <w:pStyle w:val="16"/>
            </w:pPr>
            <w:r>
              <w:t>≥8个</w:t>
            </w:r>
          </w:p>
        </w:tc>
        <w:tc>
          <w:tcPr>
            <w:tcW w:w="2466" w:type="dxa"/>
            <w:vAlign w:val="center"/>
          </w:tcPr>
          <w:p>
            <w:pPr>
              <w:pStyle w:val="16"/>
            </w:pPr>
            <w:r>
              <w:t>依据合同约定</w:t>
            </w:r>
          </w:p>
        </w:tc>
      </w:tr>
      <w:tr>
        <w:trPr>
          <w:trHeight w:val="397" w:hRule="atLeast"/>
          <w:jc w:val="center"/>
        </w:trPr>
        <w:tc>
          <w:tcPr>
            <w:tcW w:w="2466" w:type="dxa"/>
            <w:vMerge w:val="continue"/>
            <w:vAlign w:val="center"/>
          </w:tcPr>
          <w:p/>
        </w:tc>
        <w:tc>
          <w:tcPr>
            <w:tcW w:w="2026" w:type="dxa"/>
            <w:vAlign w:val="center"/>
          </w:tcPr>
          <w:p>
            <w:pPr>
              <w:pStyle w:val="16"/>
            </w:pPr>
            <w:r>
              <w:t>质量指标</w:t>
            </w:r>
          </w:p>
        </w:tc>
        <w:tc>
          <w:tcPr>
            <w:tcW w:w="2227" w:type="dxa"/>
            <w:vAlign w:val="center"/>
          </w:tcPr>
          <w:p>
            <w:pPr>
              <w:pStyle w:val="16"/>
            </w:pPr>
            <w:r>
              <w:t>编制成果评审合格率</w:t>
            </w:r>
          </w:p>
        </w:tc>
        <w:tc>
          <w:tcPr>
            <w:tcW w:w="3773" w:type="dxa"/>
            <w:vAlign w:val="center"/>
          </w:tcPr>
          <w:p>
            <w:pPr>
              <w:pStyle w:val="16"/>
            </w:pPr>
            <w:r>
              <w:t>编制成果合格率=评审合格规划数量/总规划数量</w:t>
            </w:r>
          </w:p>
        </w:tc>
        <w:tc>
          <w:tcPr>
            <w:tcW w:w="1838" w:type="dxa"/>
            <w:vAlign w:val="center"/>
          </w:tcPr>
          <w:p>
            <w:pPr>
              <w:pStyle w:val="16"/>
            </w:pPr>
            <w:r>
              <w:t>≥90%</w:t>
            </w:r>
          </w:p>
        </w:tc>
        <w:tc>
          <w:tcPr>
            <w:tcW w:w="2466" w:type="dxa"/>
            <w:vAlign w:val="center"/>
          </w:tcPr>
          <w:p>
            <w:pPr>
              <w:pStyle w:val="16"/>
            </w:pPr>
            <w:r>
              <w:t>专家评审论证意见</w:t>
            </w:r>
          </w:p>
        </w:tc>
      </w:tr>
      <w:tr>
        <w:trPr>
          <w:trHeight w:val="397" w:hRule="atLeast"/>
          <w:jc w:val="center"/>
        </w:trPr>
        <w:tc>
          <w:tcPr>
            <w:tcW w:w="2466" w:type="dxa"/>
            <w:vMerge w:val="continue"/>
            <w:vAlign w:val="center"/>
          </w:tcPr>
          <w:p/>
        </w:tc>
        <w:tc>
          <w:tcPr>
            <w:tcW w:w="2026" w:type="dxa"/>
            <w:vAlign w:val="center"/>
          </w:tcPr>
          <w:p>
            <w:pPr>
              <w:pStyle w:val="16"/>
            </w:pPr>
            <w:r>
              <w:t>时效指标</w:t>
            </w:r>
          </w:p>
        </w:tc>
        <w:tc>
          <w:tcPr>
            <w:tcW w:w="2227" w:type="dxa"/>
            <w:vAlign w:val="center"/>
          </w:tcPr>
          <w:p>
            <w:pPr>
              <w:pStyle w:val="16"/>
            </w:pPr>
            <w:r>
              <w:t>计划完成规划编制时间</w:t>
            </w:r>
          </w:p>
        </w:tc>
        <w:tc>
          <w:tcPr>
            <w:tcW w:w="3773" w:type="dxa"/>
            <w:vAlign w:val="center"/>
          </w:tcPr>
          <w:p>
            <w:pPr>
              <w:pStyle w:val="16"/>
            </w:pPr>
            <w:r>
              <w:t>按时提交项目成果</w:t>
            </w:r>
          </w:p>
        </w:tc>
        <w:tc>
          <w:tcPr>
            <w:tcW w:w="1838" w:type="dxa"/>
            <w:vAlign w:val="center"/>
          </w:tcPr>
          <w:p>
            <w:pPr>
              <w:pStyle w:val="16"/>
            </w:pPr>
            <w:r>
              <w:t>按时</w:t>
            </w:r>
          </w:p>
        </w:tc>
        <w:tc>
          <w:tcPr>
            <w:tcW w:w="2466" w:type="dxa"/>
            <w:vAlign w:val="center"/>
          </w:tcPr>
          <w:p>
            <w:pPr>
              <w:pStyle w:val="16"/>
            </w:pPr>
            <w:r>
              <w:t>依照合同约定时间</w:t>
            </w:r>
          </w:p>
        </w:tc>
      </w:tr>
      <w:tr>
        <w:trPr>
          <w:trHeight w:val="397" w:hRule="atLeast"/>
          <w:jc w:val="center"/>
        </w:trPr>
        <w:tc>
          <w:tcPr>
            <w:tcW w:w="2466" w:type="dxa"/>
            <w:vMerge w:val="continue"/>
            <w:vAlign w:val="center"/>
          </w:tcPr>
          <w:p/>
        </w:tc>
        <w:tc>
          <w:tcPr>
            <w:tcW w:w="2026" w:type="dxa"/>
            <w:vAlign w:val="center"/>
          </w:tcPr>
          <w:p>
            <w:pPr>
              <w:pStyle w:val="16"/>
            </w:pPr>
            <w:r>
              <w:t>成本指标</w:t>
            </w:r>
          </w:p>
        </w:tc>
        <w:tc>
          <w:tcPr>
            <w:tcW w:w="2227" w:type="dxa"/>
            <w:vAlign w:val="center"/>
          </w:tcPr>
          <w:p>
            <w:pPr>
              <w:pStyle w:val="16"/>
            </w:pPr>
            <w:r>
              <w:t>成本控制总价</w:t>
            </w:r>
          </w:p>
        </w:tc>
        <w:tc>
          <w:tcPr>
            <w:tcW w:w="3773" w:type="dxa"/>
            <w:vAlign w:val="center"/>
          </w:tcPr>
          <w:p>
            <w:pPr>
              <w:pStyle w:val="16"/>
            </w:pPr>
            <w:r>
              <w:t>成本控制总价为60万元，超出约定不得分</w:t>
            </w:r>
          </w:p>
        </w:tc>
        <w:tc>
          <w:tcPr>
            <w:tcW w:w="1838" w:type="dxa"/>
            <w:vAlign w:val="center"/>
          </w:tcPr>
          <w:p>
            <w:pPr>
              <w:pStyle w:val="16"/>
            </w:pPr>
            <w:r>
              <w:t>≤60万元</w:t>
            </w:r>
          </w:p>
        </w:tc>
        <w:tc>
          <w:tcPr>
            <w:tcW w:w="2466" w:type="dxa"/>
            <w:vAlign w:val="center"/>
          </w:tcPr>
          <w:p>
            <w:pPr>
              <w:pStyle w:val="16"/>
            </w:pPr>
            <w:r>
              <w:t>依照合同约定时间</w:t>
            </w:r>
          </w:p>
        </w:tc>
      </w:tr>
      <w:tr>
        <w:trPr>
          <w:trHeight w:val="397" w:hRule="atLeast"/>
          <w:jc w:val="center"/>
        </w:trPr>
        <w:tc>
          <w:tcPr>
            <w:tcW w:w="2466" w:type="dxa"/>
            <w:vMerge w:val="restart"/>
            <w:vAlign w:val="center"/>
          </w:tcPr>
          <w:p>
            <w:pPr>
              <w:pStyle w:val="17"/>
            </w:pPr>
            <w:r>
              <w:t>效益指标</w:t>
            </w:r>
          </w:p>
        </w:tc>
        <w:tc>
          <w:tcPr>
            <w:tcW w:w="2026" w:type="dxa"/>
            <w:vAlign w:val="center"/>
          </w:tcPr>
          <w:p>
            <w:pPr>
              <w:pStyle w:val="16"/>
            </w:pPr>
            <w:r>
              <w:t>经济效益指标</w:t>
            </w:r>
          </w:p>
        </w:tc>
        <w:tc>
          <w:tcPr>
            <w:tcW w:w="2227" w:type="dxa"/>
            <w:vAlign w:val="center"/>
          </w:tcPr>
          <w:p>
            <w:pPr>
              <w:pStyle w:val="16"/>
            </w:pPr>
            <w:r>
              <w:t>高质量发展</w:t>
            </w:r>
          </w:p>
        </w:tc>
        <w:tc>
          <w:tcPr>
            <w:tcW w:w="3773" w:type="dxa"/>
            <w:vAlign w:val="center"/>
          </w:tcPr>
          <w:p>
            <w:pPr>
              <w:pStyle w:val="16"/>
            </w:pPr>
            <w:r>
              <w:t>通过合理研究临空区公共服务基础和现状等，提出有利于临空区公共服务发展的措施和建议</w:t>
            </w:r>
          </w:p>
        </w:tc>
        <w:tc>
          <w:tcPr>
            <w:tcW w:w="1838" w:type="dxa"/>
            <w:vAlign w:val="center"/>
          </w:tcPr>
          <w:p>
            <w:pPr>
              <w:pStyle w:val="16"/>
            </w:pPr>
            <w:r>
              <w:t>提高</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026" w:type="dxa"/>
            <w:vAlign w:val="center"/>
          </w:tcPr>
          <w:p>
            <w:pPr>
              <w:pStyle w:val="16"/>
            </w:pPr>
            <w:r>
              <w:t>社会效益指标</w:t>
            </w:r>
          </w:p>
        </w:tc>
        <w:tc>
          <w:tcPr>
            <w:tcW w:w="2227" w:type="dxa"/>
            <w:vAlign w:val="center"/>
          </w:tcPr>
          <w:p>
            <w:pPr>
              <w:pStyle w:val="16"/>
            </w:pPr>
            <w:r>
              <w:t>提升部门工作效率</w:t>
            </w:r>
          </w:p>
        </w:tc>
        <w:tc>
          <w:tcPr>
            <w:tcW w:w="3773" w:type="dxa"/>
            <w:vAlign w:val="center"/>
          </w:tcPr>
          <w:p>
            <w:pPr>
              <w:pStyle w:val="16"/>
            </w:pPr>
            <w:r>
              <w:t>通过项目的开展找出建设过程中遇到的问题，明确下一步工作计划和重点</w:t>
            </w:r>
          </w:p>
        </w:tc>
        <w:tc>
          <w:tcPr>
            <w:tcW w:w="1838" w:type="dxa"/>
            <w:vAlign w:val="center"/>
          </w:tcPr>
          <w:p>
            <w:pPr>
              <w:pStyle w:val="16"/>
            </w:pPr>
            <w:r>
              <w:t>提高</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026" w:type="dxa"/>
            <w:vAlign w:val="center"/>
          </w:tcPr>
          <w:p>
            <w:pPr>
              <w:pStyle w:val="16"/>
            </w:pPr>
            <w:r>
              <w:t>生态效益指标</w:t>
            </w:r>
          </w:p>
        </w:tc>
        <w:tc>
          <w:tcPr>
            <w:tcW w:w="2227" w:type="dxa"/>
            <w:vAlign w:val="center"/>
          </w:tcPr>
          <w:p>
            <w:pPr>
              <w:pStyle w:val="16"/>
            </w:pPr>
            <w:r>
              <w:t>优化生态利用率</w:t>
            </w:r>
          </w:p>
        </w:tc>
        <w:tc>
          <w:tcPr>
            <w:tcW w:w="3773" w:type="dxa"/>
            <w:vAlign w:val="center"/>
          </w:tcPr>
          <w:p>
            <w:pPr>
              <w:pStyle w:val="16"/>
            </w:pPr>
            <w:r>
              <w:t>实现发展生态经济和完善公共服务的深度融合、相互促进</w:t>
            </w:r>
          </w:p>
        </w:tc>
        <w:tc>
          <w:tcPr>
            <w:tcW w:w="1838" w:type="dxa"/>
            <w:vAlign w:val="center"/>
          </w:tcPr>
          <w:p>
            <w:pPr>
              <w:pStyle w:val="16"/>
            </w:pPr>
            <w:r>
              <w:t>提高</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026" w:type="dxa"/>
            <w:vAlign w:val="center"/>
          </w:tcPr>
          <w:p>
            <w:pPr>
              <w:pStyle w:val="16"/>
            </w:pPr>
            <w:r>
              <w:t>可持续影响指标</w:t>
            </w:r>
          </w:p>
        </w:tc>
        <w:tc>
          <w:tcPr>
            <w:tcW w:w="2227" w:type="dxa"/>
            <w:vAlign w:val="center"/>
          </w:tcPr>
          <w:p>
            <w:pPr>
              <w:pStyle w:val="16"/>
            </w:pPr>
            <w:r>
              <w:t>指导临空经济区廊坊片区公共服务体系建设</w:t>
            </w:r>
          </w:p>
        </w:tc>
        <w:tc>
          <w:tcPr>
            <w:tcW w:w="3773" w:type="dxa"/>
            <w:vAlign w:val="center"/>
          </w:tcPr>
          <w:p>
            <w:pPr>
              <w:pStyle w:val="16"/>
            </w:pPr>
            <w:r>
              <w:t>明确公共服务体系建设的具体内容和举措，明确基本公共服务项目，提出一批重点建设工程，不断增强临空区民生福祉。</w:t>
            </w:r>
          </w:p>
        </w:tc>
        <w:tc>
          <w:tcPr>
            <w:tcW w:w="1838" w:type="dxa"/>
            <w:vAlign w:val="center"/>
          </w:tcPr>
          <w:p>
            <w:pPr>
              <w:pStyle w:val="16"/>
            </w:pPr>
            <w:r>
              <w:t>支撑</w:t>
            </w:r>
          </w:p>
        </w:tc>
        <w:tc>
          <w:tcPr>
            <w:tcW w:w="2466" w:type="dxa"/>
            <w:vAlign w:val="center"/>
          </w:tcPr>
          <w:p>
            <w:pPr>
              <w:pStyle w:val="16"/>
            </w:pPr>
            <w:r>
              <w:t>效果显著</w:t>
            </w:r>
          </w:p>
        </w:tc>
      </w:tr>
      <w:tr>
        <w:trPr>
          <w:trHeight w:val="397" w:hRule="atLeast"/>
          <w:jc w:val="center"/>
        </w:trPr>
        <w:tc>
          <w:tcPr>
            <w:tcW w:w="2466" w:type="dxa"/>
            <w:vAlign w:val="center"/>
          </w:tcPr>
          <w:p>
            <w:pPr>
              <w:pStyle w:val="17"/>
            </w:pPr>
            <w:r>
              <w:t>满意度指标</w:t>
            </w:r>
          </w:p>
        </w:tc>
        <w:tc>
          <w:tcPr>
            <w:tcW w:w="2026" w:type="dxa"/>
            <w:vAlign w:val="center"/>
          </w:tcPr>
          <w:p>
            <w:pPr>
              <w:pStyle w:val="16"/>
            </w:pPr>
            <w:r>
              <w:t>服务对象满意度指标</w:t>
            </w:r>
          </w:p>
        </w:tc>
        <w:tc>
          <w:tcPr>
            <w:tcW w:w="2227" w:type="dxa"/>
            <w:vAlign w:val="center"/>
          </w:tcPr>
          <w:p>
            <w:pPr>
              <w:pStyle w:val="16"/>
            </w:pPr>
            <w:r>
              <w:t>项目满意度</w:t>
            </w:r>
          </w:p>
        </w:tc>
        <w:tc>
          <w:tcPr>
            <w:tcW w:w="3773" w:type="dxa"/>
            <w:vAlign w:val="center"/>
          </w:tcPr>
          <w:p>
            <w:pPr>
              <w:pStyle w:val="16"/>
            </w:pPr>
            <w:r>
              <w:t>项目满意度</w:t>
            </w:r>
          </w:p>
        </w:tc>
        <w:tc>
          <w:tcPr>
            <w:tcW w:w="1838" w:type="dxa"/>
            <w:vAlign w:val="center"/>
          </w:tcPr>
          <w:p>
            <w:pPr>
              <w:pStyle w:val="16"/>
            </w:pPr>
            <w:r>
              <w:t>≥90%</w:t>
            </w:r>
          </w:p>
        </w:tc>
        <w:tc>
          <w:tcPr>
            <w:tcW w:w="2466"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35、安全应急保障服务费绩效目标表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1.协助廊坊临空经济区综合执法局实现临空经济区企业安全生产监管体系建设规范有序，开展各类安全管理活动，提升建筑工地安全管理水平，降低事故发生率，完成2023年度安全生产目标。</w:t>
            </w:r>
          </w:p>
          <w:p>
            <w:pPr>
              <w:pStyle w:val="16"/>
            </w:pPr>
            <w:r>
              <w:t>2.通过项目开展，完成租赁指挥车2辆，柴油抽水泵4台，购买柴油发电机（10千瓦）数量4台，电缆线（5芯2.5平方）800米，购买折叠床120张，应急物资质量合格率达到100%，成本控制在预算范围之内，保障消防救援等工初期支援。</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717"/>
        <w:gridCol w:w="3215"/>
        <w:gridCol w:w="3187"/>
        <w:gridCol w:w="1745"/>
        <w:gridCol w:w="2466"/>
      </w:tblGrid>
      <w:tr>
        <w:trPr>
          <w:trHeight w:val="397" w:hRule="atLeast"/>
          <w:tblHeader/>
          <w:jc w:val="center"/>
        </w:trPr>
        <w:tc>
          <w:tcPr>
            <w:tcW w:w="2466" w:type="dxa"/>
            <w:vAlign w:val="center"/>
          </w:tcPr>
          <w:p>
            <w:pPr>
              <w:pStyle w:val="14"/>
            </w:pPr>
            <w:r>
              <w:t>一级指标</w:t>
            </w:r>
          </w:p>
        </w:tc>
        <w:tc>
          <w:tcPr>
            <w:tcW w:w="1717" w:type="dxa"/>
            <w:vAlign w:val="center"/>
          </w:tcPr>
          <w:p>
            <w:pPr>
              <w:pStyle w:val="14"/>
            </w:pPr>
            <w:r>
              <w:t>二级指标</w:t>
            </w:r>
          </w:p>
        </w:tc>
        <w:tc>
          <w:tcPr>
            <w:tcW w:w="3215" w:type="dxa"/>
            <w:vAlign w:val="center"/>
          </w:tcPr>
          <w:p>
            <w:pPr>
              <w:pStyle w:val="14"/>
            </w:pPr>
            <w:r>
              <w:t>三级指标</w:t>
            </w:r>
          </w:p>
        </w:tc>
        <w:tc>
          <w:tcPr>
            <w:tcW w:w="3187" w:type="dxa"/>
            <w:vAlign w:val="center"/>
          </w:tcPr>
          <w:p>
            <w:pPr>
              <w:pStyle w:val="14"/>
            </w:pPr>
            <w:r>
              <w:t>绩效指标描述</w:t>
            </w:r>
          </w:p>
        </w:tc>
        <w:tc>
          <w:tcPr>
            <w:tcW w:w="1745"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717" w:type="dxa"/>
            <w:vAlign w:val="center"/>
          </w:tcPr>
          <w:p>
            <w:pPr>
              <w:pStyle w:val="16"/>
            </w:pPr>
            <w:r>
              <w:t>数量指标</w:t>
            </w:r>
          </w:p>
        </w:tc>
        <w:tc>
          <w:tcPr>
            <w:tcW w:w="3215" w:type="dxa"/>
            <w:vAlign w:val="center"/>
          </w:tcPr>
          <w:p>
            <w:pPr>
              <w:pStyle w:val="16"/>
            </w:pPr>
            <w:r>
              <w:t>租赁指挥车数量</w:t>
            </w:r>
          </w:p>
        </w:tc>
        <w:tc>
          <w:tcPr>
            <w:tcW w:w="3187" w:type="dxa"/>
            <w:vAlign w:val="center"/>
          </w:tcPr>
          <w:p>
            <w:pPr>
              <w:pStyle w:val="16"/>
            </w:pPr>
            <w:r>
              <w:t>租赁指挥车数量</w:t>
            </w:r>
          </w:p>
        </w:tc>
        <w:tc>
          <w:tcPr>
            <w:tcW w:w="1745" w:type="dxa"/>
            <w:vAlign w:val="center"/>
          </w:tcPr>
          <w:p>
            <w:pPr>
              <w:pStyle w:val="16"/>
            </w:pPr>
            <w:r>
              <w:t>2辆</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数量指标</w:t>
            </w:r>
          </w:p>
        </w:tc>
        <w:tc>
          <w:tcPr>
            <w:tcW w:w="3215" w:type="dxa"/>
            <w:vAlign w:val="center"/>
          </w:tcPr>
          <w:p>
            <w:pPr>
              <w:pStyle w:val="16"/>
            </w:pPr>
            <w:r>
              <w:t>柴油抽水泵数量</w:t>
            </w:r>
          </w:p>
        </w:tc>
        <w:tc>
          <w:tcPr>
            <w:tcW w:w="3187" w:type="dxa"/>
            <w:vAlign w:val="center"/>
          </w:tcPr>
          <w:p>
            <w:pPr>
              <w:pStyle w:val="16"/>
            </w:pPr>
            <w:r>
              <w:t>购买柴油抽水泵数量</w:t>
            </w:r>
          </w:p>
        </w:tc>
        <w:tc>
          <w:tcPr>
            <w:tcW w:w="1745" w:type="dxa"/>
            <w:vAlign w:val="center"/>
          </w:tcPr>
          <w:p>
            <w:pPr>
              <w:pStyle w:val="16"/>
            </w:pPr>
            <w:r>
              <w:t>4台</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数量指标</w:t>
            </w:r>
          </w:p>
        </w:tc>
        <w:tc>
          <w:tcPr>
            <w:tcW w:w="3215" w:type="dxa"/>
            <w:vAlign w:val="center"/>
          </w:tcPr>
          <w:p>
            <w:pPr>
              <w:pStyle w:val="16"/>
            </w:pPr>
            <w:r>
              <w:t>购买柴油发电机（10千瓦）数量</w:t>
            </w:r>
          </w:p>
        </w:tc>
        <w:tc>
          <w:tcPr>
            <w:tcW w:w="3187" w:type="dxa"/>
            <w:vAlign w:val="center"/>
          </w:tcPr>
          <w:p>
            <w:pPr>
              <w:pStyle w:val="16"/>
            </w:pPr>
            <w:r>
              <w:t>购买柴油发电机（10千瓦）数量</w:t>
            </w:r>
          </w:p>
        </w:tc>
        <w:tc>
          <w:tcPr>
            <w:tcW w:w="1745" w:type="dxa"/>
            <w:vAlign w:val="center"/>
          </w:tcPr>
          <w:p>
            <w:pPr>
              <w:pStyle w:val="16"/>
            </w:pPr>
            <w:r>
              <w:t>4台</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数量指标</w:t>
            </w:r>
          </w:p>
        </w:tc>
        <w:tc>
          <w:tcPr>
            <w:tcW w:w="3215" w:type="dxa"/>
            <w:vAlign w:val="center"/>
          </w:tcPr>
          <w:p>
            <w:pPr>
              <w:pStyle w:val="16"/>
            </w:pPr>
            <w:r>
              <w:t>电缆线（5芯2.5平方）</w:t>
            </w:r>
          </w:p>
        </w:tc>
        <w:tc>
          <w:tcPr>
            <w:tcW w:w="3187" w:type="dxa"/>
            <w:vAlign w:val="center"/>
          </w:tcPr>
          <w:p>
            <w:pPr>
              <w:pStyle w:val="16"/>
            </w:pPr>
            <w:r>
              <w:t>电缆线（5芯2.5平方）</w:t>
            </w:r>
          </w:p>
        </w:tc>
        <w:tc>
          <w:tcPr>
            <w:tcW w:w="1745" w:type="dxa"/>
            <w:vAlign w:val="center"/>
          </w:tcPr>
          <w:p>
            <w:pPr>
              <w:pStyle w:val="16"/>
            </w:pPr>
            <w:r>
              <w:t>800米</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数量指标</w:t>
            </w:r>
          </w:p>
        </w:tc>
        <w:tc>
          <w:tcPr>
            <w:tcW w:w="3215" w:type="dxa"/>
            <w:vAlign w:val="center"/>
          </w:tcPr>
          <w:p>
            <w:pPr>
              <w:pStyle w:val="16"/>
            </w:pPr>
            <w:r>
              <w:t>购买折叠床数量</w:t>
            </w:r>
          </w:p>
        </w:tc>
        <w:tc>
          <w:tcPr>
            <w:tcW w:w="3187" w:type="dxa"/>
            <w:vAlign w:val="center"/>
          </w:tcPr>
          <w:p>
            <w:pPr>
              <w:pStyle w:val="16"/>
            </w:pPr>
            <w:r>
              <w:t>折叠床数量</w:t>
            </w:r>
          </w:p>
        </w:tc>
        <w:tc>
          <w:tcPr>
            <w:tcW w:w="1745" w:type="dxa"/>
            <w:vAlign w:val="center"/>
          </w:tcPr>
          <w:p>
            <w:pPr>
              <w:pStyle w:val="16"/>
            </w:pPr>
            <w:r>
              <w:t>120张</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质量指标</w:t>
            </w:r>
          </w:p>
        </w:tc>
        <w:tc>
          <w:tcPr>
            <w:tcW w:w="3215" w:type="dxa"/>
            <w:vAlign w:val="center"/>
          </w:tcPr>
          <w:p>
            <w:pPr>
              <w:pStyle w:val="16"/>
            </w:pPr>
            <w:r>
              <w:t>应急物资质量合格率</w:t>
            </w:r>
          </w:p>
        </w:tc>
        <w:tc>
          <w:tcPr>
            <w:tcW w:w="3187" w:type="dxa"/>
            <w:vAlign w:val="center"/>
          </w:tcPr>
          <w:p>
            <w:pPr>
              <w:pStyle w:val="16"/>
            </w:pPr>
            <w:r>
              <w:t>购买应急物资质量合格数量/购买应急物资总数量*100%</w:t>
            </w:r>
          </w:p>
        </w:tc>
        <w:tc>
          <w:tcPr>
            <w:tcW w:w="1745"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时效指标</w:t>
            </w:r>
          </w:p>
        </w:tc>
        <w:tc>
          <w:tcPr>
            <w:tcW w:w="3215" w:type="dxa"/>
            <w:vAlign w:val="center"/>
          </w:tcPr>
          <w:p>
            <w:pPr>
              <w:pStyle w:val="16"/>
            </w:pPr>
            <w:r>
              <w:t>应急物资购置及时率</w:t>
            </w:r>
          </w:p>
        </w:tc>
        <w:tc>
          <w:tcPr>
            <w:tcW w:w="3187" w:type="dxa"/>
            <w:vAlign w:val="center"/>
          </w:tcPr>
          <w:p>
            <w:pPr>
              <w:pStyle w:val="16"/>
            </w:pPr>
            <w:r>
              <w:t>及时购置应急物资数量/购置应急物资总数量*100%</w:t>
            </w:r>
          </w:p>
        </w:tc>
        <w:tc>
          <w:tcPr>
            <w:tcW w:w="1745"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成本指标</w:t>
            </w:r>
          </w:p>
        </w:tc>
        <w:tc>
          <w:tcPr>
            <w:tcW w:w="3215" w:type="dxa"/>
            <w:vAlign w:val="center"/>
          </w:tcPr>
          <w:p>
            <w:pPr>
              <w:pStyle w:val="16"/>
            </w:pPr>
            <w:r>
              <w:t>租赁指挥车平均成本</w:t>
            </w:r>
          </w:p>
        </w:tc>
        <w:tc>
          <w:tcPr>
            <w:tcW w:w="3187" w:type="dxa"/>
            <w:vAlign w:val="center"/>
          </w:tcPr>
          <w:p>
            <w:pPr>
              <w:pStyle w:val="16"/>
            </w:pPr>
            <w:r>
              <w:t>考察租赁指挥车成本控制情况</w:t>
            </w:r>
          </w:p>
        </w:tc>
        <w:tc>
          <w:tcPr>
            <w:tcW w:w="1745" w:type="dxa"/>
            <w:vAlign w:val="center"/>
          </w:tcPr>
          <w:p>
            <w:pPr>
              <w:pStyle w:val="16"/>
            </w:pPr>
            <w:r>
              <w:t>≤2.4万元</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成本指标</w:t>
            </w:r>
          </w:p>
        </w:tc>
        <w:tc>
          <w:tcPr>
            <w:tcW w:w="3215" w:type="dxa"/>
            <w:vAlign w:val="center"/>
          </w:tcPr>
          <w:p>
            <w:pPr>
              <w:pStyle w:val="16"/>
            </w:pPr>
            <w:r>
              <w:t>柴油抽水泵平均成本</w:t>
            </w:r>
          </w:p>
        </w:tc>
        <w:tc>
          <w:tcPr>
            <w:tcW w:w="3187" w:type="dxa"/>
            <w:vAlign w:val="center"/>
          </w:tcPr>
          <w:p>
            <w:pPr>
              <w:pStyle w:val="16"/>
            </w:pPr>
            <w:r>
              <w:t>考察柴油抽水泵成本控制情况</w:t>
            </w:r>
          </w:p>
        </w:tc>
        <w:tc>
          <w:tcPr>
            <w:tcW w:w="1745" w:type="dxa"/>
            <w:vAlign w:val="center"/>
          </w:tcPr>
          <w:p>
            <w:pPr>
              <w:pStyle w:val="16"/>
            </w:pPr>
            <w:r>
              <w:t>≤0.3万元</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成本指标</w:t>
            </w:r>
          </w:p>
        </w:tc>
        <w:tc>
          <w:tcPr>
            <w:tcW w:w="3215" w:type="dxa"/>
            <w:vAlign w:val="center"/>
          </w:tcPr>
          <w:p>
            <w:pPr>
              <w:pStyle w:val="16"/>
            </w:pPr>
            <w:r>
              <w:t>柴油发电机（10千瓦）平均成本</w:t>
            </w:r>
          </w:p>
        </w:tc>
        <w:tc>
          <w:tcPr>
            <w:tcW w:w="3187" w:type="dxa"/>
            <w:vAlign w:val="center"/>
          </w:tcPr>
          <w:p>
            <w:pPr>
              <w:pStyle w:val="16"/>
            </w:pPr>
            <w:r>
              <w:t>考察柴油发电机（10千瓦）平均成本控制情况</w:t>
            </w:r>
          </w:p>
        </w:tc>
        <w:tc>
          <w:tcPr>
            <w:tcW w:w="1745" w:type="dxa"/>
            <w:vAlign w:val="center"/>
          </w:tcPr>
          <w:p>
            <w:pPr>
              <w:pStyle w:val="16"/>
            </w:pPr>
            <w:r>
              <w:t>≤0.45万元</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成本指标</w:t>
            </w:r>
          </w:p>
        </w:tc>
        <w:tc>
          <w:tcPr>
            <w:tcW w:w="3215" w:type="dxa"/>
            <w:vAlign w:val="center"/>
          </w:tcPr>
          <w:p>
            <w:pPr>
              <w:pStyle w:val="16"/>
            </w:pPr>
            <w:r>
              <w:t>电缆线（5芯2.5平方）平均成本</w:t>
            </w:r>
          </w:p>
        </w:tc>
        <w:tc>
          <w:tcPr>
            <w:tcW w:w="3187" w:type="dxa"/>
            <w:vAlign w:val="center"/>
          </w:tcPr>
          <w:p>
            <w:pPr>
              <w:pStyle w:val="16"/>
            </w:pPr>
            <w:r>
              <w:t>考察电缆线（5芯2.5平方）平均成本在看情况</w:t>
            </w:r>
          </w:p>
        </w:tc>
        <w:tc>
          <w:tcPr>
            <w:tcW w:w="1745" w:type="dxa"/>
            <w:vAlign w:val="center"/>
          </w:tcPr>
          <w:p>
            <w:pPr>
              <w:pStyle w:val="16"/>
            </w:pPr>
            <w:r>
              <w:t>≤19元/米</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成本指标</w:t>
            </w:r>
          </w:p>
        </w:tc>
        <w:tc>
          <w:tcPr>
            <w:tcW w:w="3215" w:type="dxa"/>
            <w:vAlign w:val="center"/>
          </w:tcPr>
          <w:p>
            <w:pPr>
              <w:pStyle w:val="16"/>
            </w:pPr>
            <w:r>
              <w:t>折叠床平均成本</w:t>
            </w:r>
          </w:p>
        </w:tc>
        <w:tc>
          <w:tcPr>
            <w:tcW w:w="3187" w:type="dxa"/>
            <w:vAlign w:val="center"/>
          </w:tcPr>
          <w:p>
            <w:pPr>
              <w:pStyle w:val="16"/>
            </w:pPr>
            <w:r>
              <w:t>考察折叠床平均成本控制情况</w:t>
            </w:r>
          </w:p>
        </w:tc>
        <w:tc>
          <w:tcPr>
            <w:tcW w:w="1745" w:type="dxa"/>
            <w:vAlign w:val="center"/>
          </w:tcPr>
          <w:p>
            <w:pPr>
              <w:pStyle w:val="16"/>
            </w:pPr>
            <w:r>
              <w:t>≤180元/张</w:t>
            </w:r>
          </w:p>
        </w:tc>
        <w:tc>
          <w:tcPr>
            <w:tcW w:w="2466" w:type="dxa"/>
            <w:vAlign w:val="center"/>
          </w:tcPr>
          <w:p>
            <w:pPr>
              <w:pStyle w:val="16"/>
            </w:pPr>
            <w:r>
              <w:t>工作计划</w:t>
            </w:r>
          </w:p>
        </w:tc>
      </w:tr>
      <w:tr>
        <w:trPr>
          <w:trHeight w:val="397" w:hRule="atLeast"/>
          <w:jc w:val="center"/>
        </w:trPr>
        <w:tc>
          <w:tcPr>
            <w:tcW w:w="2466" w:type="dxa"/>
            <w:vMerge w:val="restart"/>
            <w:vAlign w:val="center"/>
          </w:tcPr>
          <w:p>
            <w:pPr>
              <w:pStyle w:val="17"/>
            </w:pPr>
            <w:r>
              <w:t>效益指标</w:t>
            </w:r>
          </w:p>
        </w:tc>
        <w:tc>
          <w:tcPr>
            <w:tcW w:w="1717" w:type="dxa"/>
            <w:vAlign w:val="center"/>
          </w:tcPr>
          <w:p>
            <w:pPr>
              <w:pStyle w:val="16"/>
            </w:pPr>
            <w:r>
              <w:t>社会效益指标</w:t>
            </w:r>
          </w:p>
        </w:tc>
        <w:tc>
          <w:tcPr>
            <w:tcW w:w="3215" w:type="dxa"/>
            <w:vAlign w:val="center"/>
          </w:tcPr>
          <w:p>
            <w:pPr>
              <w:pStyle w:val="16"/>
            </w:pPr>
            <w:r>
              <w:t>提升应急保障能力</w:t>
            </w:r>
          </w:p>
        </w:tc>
        <w:tc>
          <w:tcPr>
            <w:tcW w:w="3187" w:type="dxa"/>
            <w:vAlign w:val="center"/>
          </w:tcPr>
          <w:p>
            <w:pPr>
              <w:pStyle w:val="16"/>
            </w:pPr>
            <w:r>
              <w:t>提升应急保障能力</w:t>
            </w:r>
          </w:p>
        </w:tc>
        <w:tc>
          <w:tcPr>
            <w:tcW w:w="1745" w:type="dxa"/>
            <w:vAlign w:val="center"/>
          </w:tcPr>
          <w:p>
            <w:pPr>
              <w:pStyle w:val="16"/>
            </w:pPr>
            <w:r>
              <w:t>提升</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社会效益指标</w:t>
            </w:r>
          </w:p>
        </w:tc>
        <w:tc>
          <w:tcPr>
            <w:tcW w:w="3215" w:type="dxa"/>
            <w:vAlign w:val="center"/>
          </w:tcPr>
          <w:p>
            <w:pPr>
              <w:pStyle w:val="16"/>
            </w:pPr>
            <w:r>
              <w:t>保障安全度汛</w:t>
            </w:r>
          </w:p>
        </w:tc>
        <w:tc>
          <w:tcPr>
            <w:tcW w:w="3187" w:type="dxa"/>
            <w:vAlign w:val="center"/>
          </w:tcPr>
          <w:p>
            <w:pPr>
              <w:pStyle w:val="16"/>
            </w:pPr>
            <w:r>
              <w:t>保障安全度汛</w:t>
            </w:r>
          </w:p>
        </w:tc>
        <w:tc>
          <w:tcPr>
            <w:tcW w:w="1745" w:type="dxa"/>
            <w:vAlign w:val="center"/>
          </w:tcPr>
          <w:p>
            <w:pPr>
              <w:pStyle w:val="16"/>
            </w:pPr>
            <w:r>
              <w:t>保障</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717" w:type="dxa"/>
            <w:vAlign w:val="center"/>
          </w:tcPr>
          <w:p>
            <w:pPr>
              <w:pStyle w:val="16"/>
            </w:pPr>
            <w:r>
              <w:t>社会效益指标</w:t>
            </w:r>
          </w:p>
        </w:tc>
        <w:tc>
          <w:tcPr>
            <w:tcW w:w="3215" w:type="dxa"/>
            <w:vAlign w:val="center"/>
          </w:tcPr>
          <w:p>
            <w:pPr>
              <w:pStyle w:val="16"/>
            </w:pPr>
            <w:r>
              <w:t>保障消防救援等工初期支援</w:t>
            </w:r>
          </w:p>
        </w:tc>
        <w:tc>
          <w:tcPr>
            <w:tcW w:w="3187" w:type="dxa"/>
            <w:vAlign w:val="center"/>
          </w:tcPr>
          <w:p>
            <w:pPr>
              <w:pStyle w:val="16"/>
            </w:pPr>
            <w:r>
              <w:t>保障消防救援等工初期支援</w:t>
            </w:r>
          </w:p>
        </w:tc>
        <w:tc>
          <w:tcPr>
            <w:tcW w:w="1745" w:type="dxa"/>
            <w:vAlign w:val="center"/>
          </w:tcPr>
          <w:p>
            <w:pPr>
              <w:pStyle w:val="16"/>
            </w:pPr>
            <w:r>
              <w:t>保障</w:t>
            </w:r>
          </w:p>
        </w:tc>
        <w:tc>
          <w:tcPr>
            <w:tcW w:w="2466" w:type="dxa"/>
            <w:vAlign w:val="center"/>
          </w:tcPr>
          <w:p>
            <w:pPr>
              <w:pStyle w:val="16"/>
            </w:pPr>
            <w:r>
              <w:t>工作计划</w:t>
            </w:r>
          </w:p>
        </w:tc>
      </w:tr>
      <w:tr>
        <w:trPr>
          <w:trHeight w:val="397" w:hRule="atLeast"/>
          <w:jc w:val="center"/>
        </w:trPr>
        <w:tc>
          <w:tcPr>
            <w:tcW w:w="2466" w:type="dxa"/>
            <w:vMerge w:val="restart"/>
            <w:vAlign w:val="center"/>
          </w:tcPr>
          <w:p>
            <w:pPr>
              <w:pStyle w:val="17"/>
            </w:pPr>
            <w:r>
              <w:t>满意度指标</w:t>
            </w:r>
          </w:p>
        </w:tc>
        <w:tc>
          <w:tcPr>
            <w:tcW w:w="1717" w:type="dxa"/>
            <w:vAlign w:val="center"/>
          </w:tcPr>
          <w:p>
            <w:pPr>
              <w:pStyle w:val="16"/>
            </w:pPr>
            <w:r>
              <w:t>服务对象满意度指标</w:t>
            </w:r>
          </w:p>
        </w:tc>
        <w:tc>
          <w:tcPr>
            <w:tcW w:w="3215" w:type="dxa"/>
            <w:vAlign w:val="center"/>
          </w:tcPr>
          <w:p>
            <w:pPr>
              <w:pStyle w:val="16"/>
            </w:pPr>
            <w:r>
              <w:t>工作人员满意度</w:t>
            </w:r>
          </w:p>
        </w:tc>
        <w:tc>
          <w:tcPr>
            <w:tcW w:w="3187" w:type="dxa"/>
            <w:vAlign w:val="center"/>
          </w:tcPr>
          <w:p>
            <w:pPr>
              <w:pStyle w:val="16"/>
            </w:pPr>
            <w:r>
              <w:t>工作人员满意人数/调查总人数*100%</w:t>
            </w:r>
          </w:p>
        </w:tc>
        <w:tc>
          <w:tcPr>
            <w:tcW w:w="1745" w:type="dxa"/>
            <w:vAlign w:val="center"/>
          </w:tcPr>
          <w:p>
            <w:pPr>
              <w:pStyle w:val="16"/>
            </w:pPr>
            <w:r>
              <w:t>≥90%</w:t>
            </w:r>
          </w:p>
        </w:tc>
        <w:tc>
          <w:tcPr>
            <w:tcW w:w="2466" w:type="dxa"/>
            <w:vAlign w:val="center"/>
          </w:tcPr>
          <w:p>
            <w:pPr>
              <w:pStyle w:val="16"/>
            </w:pPr>
            <w:r>
              <w:t>调查问卷</w:t>
            </w:r>
          </w:p>
        </w:tc>
      </w:tr>
      <w:tr>
        <w:trPr>
          <w:trHeight w:val="397" w:hRule="atLeast"/>
          <w:jc w:val="center"/>
        </w:trPr>
        <w:tc>
          <w:tcPr>
            <w:tcW w:w="2466" w:type="dxa"/>
            <w:vMerge w:val="continue"/>
            <w:vAlign w:val="center"/>
          </w:tcPr>
          <w:p/>
        </w:tc>
        <w:tc>
          <w:tcPr>
            <w:tcW w:w="1717" w:type="dxa"/>
            <w:vAlign w:val="center"/>
          </w:tcPr>
          <w:p>
            <w:pPr>
              <w:pStyle w:val="16"/>
            </w:pPr>
            <w:r>
              <w:t>服务对象满意度指标</w:t>
            </w:r>
          </w:p>
        </w:tc>
        <w:tc>
          <w:tcPr>
            <w:tcW w:w="3215" w:type="dxa"/>
            <w:vAlign w:val="center"/>
          </w:tcPr>
          <w:p>
            <w:pPr>
              <w:pStyle w:val="16"/>
            </w:pPr>
            <w:r>
              <w:t>群众满意度</w:t>
            </w:r>
          </w:p>
        </w:tc>
        <w:tc>
          <w:tcPr>
            <w:tcW w:w="3187" w:type="dxa"/>
            <w:vAlign w:val="center"/>
          </w:tcPr>
          <w:p>
            <w:pPr>
              <w:pStyle w:val="16"/>
            </w:pPr>
            <w:r>
              <w:t>群众满意人数/调查总人数*100%</w:t>
            </w:r>
          </w:p>
        </w:tc>
        <w:tc>
          <w:tcPr>
            <w:tcW w:w="1745"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36、办公电子设备采购项目绩效目标表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1.保障北京大兴国际机场临空经济区（廊坊）管理委员会正常办公需求，需采购打印机、扫描仪等办公电子设备满足各部室日常办公所需。</w:t>
            </w:r>
          </w:p>
          <w:p>
            <w:pPr>
              <w:pStyle w:val="16"/>
            </w:pPr>
            <w:r>
              <w:t>2.保障北京大兴国际机场临空经济区（廊坊）管理委员会正常办公需求，需采购电脑、打印机、笔记本等办公电子设备满足各部室日常办公所需。项目完成预计于2023年12月完成采购。</w:t>
            </w:r>
          </w:p>
        </w:tc>
      </w:tr>
    </w:tbl>
    <w:p>
      <w:pPr>
        <w:spacing w:line="2" w:lineRule="exact"/>
        <w:jc w:val="center"/>
        <w:rPr>
          <w:rFonts w:eastAsia="宋体"/>
          <w:lang w:eastAsia="zh-CN"/>
        </w:rPr>
      </w:pPr>
    </w:p>
    <w:tbl>
      <w:tblPr>
        <w:tblStyle w:val="8"/>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3"/>
        <w:gridCol w:w="2268"/>
        <w:gridCol w:w="2835"/>
        <w:gridCol w:w="2835"/>
        <w:gridCol w:w="2551"/>
        <w:gridCol w:w="2268"/>
      </w:tblGrid>
      <w:tr>
        <w:trPr>
          <w:trHeight w:val="397" w:hRule="atLeast"/>
          <w:tblHeader/>
          <w:jc w:val="center"/>
        </w:trPr>
        <w:tc>
          <w:tcPr>
            <w:tcW w:w="2023"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2023"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打印机设备</w:t>
            </w:r>
          </w:p>
        </w:tc>
        <w:tc>
          <w:tcPr>
            <w:tcW w:w="2835" w:type="dxa"/>
            <w:vAlign w:val="center"/>
          </w:tcPr>
          <w:p>
            <w:pPr>
              <w:pStyle w:val="16"/>
            </w:pPr>
            <w:r>
              <w:t>国产A4打印机</w:t>
            </w:r>
          </w:p>
        </w:tc>
        <w:tc>
          <w:tcPr>
            <w:tcW w:w="2551" w:type="dxa"/>
            <w:vAlign w:val="center"/>
          </w:tcPr>
          <w:p>
            <w:pPr>
              <w:pStyle w:val="16"/>
            </w:pPr>
            <w:r>
              <w:t>21台</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数量指标</w:t>
            </w:r>
          </w:p>
        </w:tc>
        <w:tc>
          <w:tcPr>
            <w:tcW w:w="2835" w:type="dxa"/>
            <w:vAlign w:val="center"/>
          </w:tcPr>
          <w:p>
            <w:pPr>
              <w:pStyle w:val="16"/>
            </w:pPr>
            <w:r>
              <w:t>打印机设备</w:t>
            </w:r>
          </w:p>
        </w:tc>
        <w:tc>
          <w:tcPr>
            <w:tcW w:w="2835" w:type="dxa"/>
            <w:vAlign w:val="center"/>
          </w:tcPr>
          <w:p>
            <w:pPr>
              <w:pStyle w:val="16"/>
            </w:pPr>
            <w:r>
              <w:t>国产A3打印机</w:t>
            </w:r>
          </w:p>
        </w:tc>
        <w:tc>
          <w:tcPr>
            <w:tcW w:w="2551" w:type="dxa"/>
            <w:vAlign w:val="center"/>
          </w:tcPr>
          <w:p>
            <w:pPr>
              <w:pStyle w:val="16"/>
            </w:pPr>
            <w:r>
              <w:t>6台</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数量指标</w:t>
            </w:r>
          </w:p>
        </w:tc>
        <w:tc>
          <w:tcPr>
            <w:tcW w:w="2835" w:type="dxa"/>
            <w:vAlign w:val="center"/>
          </w:tcPr>
          <w:p>
            <w:pPr>
              <w:pStyle w:val="16"/>
            </w:pPr>
            <w:r>
              <w:t>扫描设备</w:t>
            </w:r>
          </w:p>
        </w:tc>
        <w:tc>
          <w:tcPr>
            <w:tcW w:w="2835" w:type="dxa"/>
            <w:vAlign w:val="center"/>
          </w:tcPr>
          <w:p>
            <w:pPr>
              <w:pStyle w:val="16"/>
            </w:pPr>
            <w:r>
              <w:t>国产扫描仪设备</w:t>
            </w:r>
          </w:p>
        </w:tc>
        <w:tc>
          <w:tcPr>
            <w:tcW w:w="2551" w:type="dxa"/>
            <w:vAlign w:val="center"/>
          </w:tcPr>
          <w:p>
            <w:pPr>
              <w:pStyle w:val="16"/>
            </w:pPr>
            <w:r>
              <w:t>2台</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数量指标</w:t>
            </w:r>
          </w:p>
        </w:tc>
        <w:tc>
          <w:tcPr>
            <w:tcW w:w="2835" w:type="dxa"/>
            <w:vAlign w:val="center"/>
          </w:tcPr>
          <w:p>
            <w:pPr>
              <w:pStyle w:val="16"/>
            </w:pPr>
            <w:r>
              <w:t>办公本</w:t>
            </w:r>
          </w:p>
        </w:tc>
        <w:tc>
          <w:tcPr>
            <w:tcW w:w="2835" w:type="dxa"/>
            <w:vAlign w:val="center"/>
          </w:tcPr>
          <w:p>
            <w:pPr>
              <w:pStyle w:val="16"/>
            </w:pPr>
            <w:r>
              <w:t>科大讯飞办公本X2</w:t>
            </w:r>
          </w:p>
        </w:tc>
        <w:tc>
          <w:tcPr>
            <w:tcW w:w="2551" w:type="dxa"/>
            <w:vAlign w:val="center"/>
          </w:tcPr>
          <w:p>
            <w:pPr>
              <w:pStyle w:val="16"/>
            </w:pPr>
            <w:r>
              <w:t>20本</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购置设备合格数量/总数量</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时效指标</w:t>
            </w:r>
          </w:p>
        </w:tc>
        <w:tc>
          <w:tcPr>
            <w:tcW w:w="2835" w:type="dxa"/>
            <w:vAlign w:val="center"/>
          </w:tcPr>
          <w:p>
            <w:pPr>
              <w:pStyle w:val="16"/>
            </w:pPr>
            <w:r>
              <w:t>设备到位及时率</w:t>
            </w:r>
          </w:p>
        </w:tc>
        <w:tc>
          <w:tcPr>
            <w:tcW w:w="2835" w:type="dxa"/>
            <w:vAlign w:val="center"/>
          </w:tcPr>
          <w:p>
            <w:pPr>
              <w:pStyle w:val="16"/>
            </w:pPr>
            <w:r>
              <w:t>按采购方案按时到位的设备数/总设备数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项目实际成本</w:t>
            </w:r>
          </w:p>
        </w:tc>
        <w:tc>
          <w:tcPr>
            <w:tcW w:w="2551" w:type="dxa"/>
            <w:vAlign w:val="center"/>
          </w:tcPr>
          <w:p>
            <w:pPr>
              <w:pStyle w:val="16"/>
            </w:pPr>
            <w:r>
              <w:t>34.3万元</w:t>
            </w:r>
          </w:p>
        </w:tc>
        <w:tc>
          <w:tcPr>
            <w:tcW w:w="2268" w:type="dxa"/>
            <w:vAlign w:val="center"/>
          </w:tcPr>
          <w:p>
            <w:pPr>
              <w:pStyle w:val="16"/>
            </w:pPr>
            <w:r>
              <w:t>合同标准</w:t>
            </w:r>
          </w:p>
        </w:tc>
      </w:tr>
      <w:tr>
        <w:trPr>
          <w:trHeight w:val="397" w:hRule="atLeast"/>
          <w:jc w:val="center"/>
        </w:trPr>
        <w:tc>
          <w:tcPr>
            <w:tcW w:w="2023"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持续保障供应</w:t>
            </w:r>
          </w:p>
        </w:tc>
        <w:tc>
          <w:tcPr>
            <w:tcW w:w="2835" w:type="dxa"/>
            <w:vAlign w:val="center"/>
          </w:tcPr>
          <w:p>
            <w:pPr>
              <w:pStyle w:val="16"/>
            </w:pPr>
            <w:r>
              <w:t>持续保障供应</w:t>
            </w:r>
          </w:p>
        </w:tc>
        <w:tc>
          <w:tcPr>
            <w:tcW w:w="2551" w:type="dxa"/>
            <w:vAlign w:val="center"/>
          </w:tcPr>
          <w:p>
            <w:pPr>
              <w:pStyle w:val="16"/>
            </w:pPr>
            <w:r>
              <w:t>持续性</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经济效益指标</w:t>
            </w:r>
          </w:p>
        </w:tc>
        <w:tc>
          <w:tcPr>
            <w:tcW w:w="2835" w:type="dxa"/>
            <w:vAlign w:val="center"/>
          </w:tcPr>
          <w:p>
            <w:pPr>
              <w:pStyle w:val="16"/>
            </w:pPr>
            <w:r>
              <w:t>节约成本</w:t>
            </w:r>
          </w:p>
        </w:tc>
        <w:tc>
          <w:tcPr>
            <w:tcW w:w="2835" w:type="dxa"/>
            <w:vAlign w:val="center"/>
          </w:tcPr>
          <w:p>
            <w:pPr>
              <w:pStyle w:val="16"/>
            </w:pPr>
            <w:r>
              <w:t>集中采购有利于成本节约</w:t>
            </w:r>
          </w:p>
        </w:tc>
        <w:tc>
          <w:tcPr>
            <w:tcW w:w="2551" w:type="dxa"/>
            <w:vAlign w:val="center"/>
          </w:tcPr>
          <w:p>
            <w:pPr>
              <w:pStyle w:val="16"/>
            </w:pPr>
            <w:r>
              <w:t>成本节约</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社会效益指标</w:t>
            </w:r>
          </w:p>
        </w:tc>
        <w:tc>
          <w:tcPr>
            <w:tcW w:w="2835" w:type="dxa"/>
            <w:vAlign w:val="center"/>
          </w:tcPr>
          <w:p>
            <w:pPr>
              <w:pStyle w:val="16"/>
            </w:pPr>
            <w:r>
              <w:t>用于保障正常办公、会议所需。</w:t>
            </w:r>
          </w:p>
        </w:tc>
        <w:tc>
          <w:tcPr>
            <w:tcW w:w="2835" w:type="dxa"/>
            <w:vAlign w:val="center"/>
          </w:tcPr>
          <w:p>
            <w:pPr>
              <w:pStyle w:val="16"/>
            </w:pPr>
            <w:r>
              <w:t>用于保障正常办公、会议所需。</w:t>
            </w:r>
          </w:p>
        </w:tc>
        <w:tc>
          <w:tcPr>
            <w:tcW w:w="2551" w:type="dxa"/>
            <w:vAlign w:val="center"/>
          </w:tcPr>
          <w:p>
            <w:pPr>
              <w:pStyle w:val="16"/>
            </w:pPr>
            <w:r>
              <w:t>有效保障</w:t>
            </w:r>
          </w:p>
        </w:tc>
        <w:tc>
          <w:tcPr>
            <w:tcW w:w="2268" w:type="dxa"/>
            <w:vAlign w:val="center"/>
          </w:tcPr>
          <w:p>
            <w:pPr>
              <w:pStyle w:val="16"/>
            </w:pPr>
            <w:r>
              <w:t>实际情况</w:t>
            </w:r>
          </w:p>
        </w:tc>
      </w:tr>
      <w:tr>
        <w:trPr>
          <w:trHeight w:val="397" w:hRule="atLeast"/>
          <w:jc w:val="center"/>
        </w:trPr>
        <w:tc>
          <w:tcPr>
            <w:tcW w:w="2023" w:type="dxa"/>
            <w:vMerge w:val="continue"/>
            <w:vAlign w:val="center"/>
          </w:tcPr>
          <w:p/>
        </w:tc>
        <w:tc>
          <w:tcPr>
            <w:tcW w:w="2268" w:type="dxa"/>
            <w:vAlign w:val="center"/>
          </w:tcPr>
          <w:p>
            <w:pPr>
              <w:pStyle w:val="16"/>
            </w:pPr>
            <w:r>
              <w:t>生态效益指标</w:t>
            </w:r>
          </w:p>
        </w:tc>
        <w:tc>
          <w:tcPr>
            <w:tcW w:w="2835" w:type="dxa"/>
            <w:vAlign w:val="center"/>
          </w:tcPr>
          <w:p>
            <w:pPr>
              <w:pStyle w:val="16"/>
            </w:pPr>
            <w:r>
              <w:t>环境保护</w:t>
            </w:r>
          </w:p>
        </w:tc>
        <w:tc>
          <w:tcPr>
            <w:tcW w:w="2835" w:type="dxa"/>
            <w:vAlign w:val="center"/>
          </w:tcPr>
          <w:p>
            <w:pPr>
              <w:pStyle w:val="16"/>
            </w:pPr>
            <w:r>
              <w:t>集中采购有利于环境保护</w:t>
            </w:r>
          </w:p>
        </w:tc>
        <w:tc>
          <w:tcPr>
            <w:tcW w:w="2551" w:type="dxa"/>
            <w:vAlign w:val="center"/>
          </w:tcPr>
          <w:p>
            <w:pPr>
              <w:pStyle w:val="16"/>
            </w:pPr>
            <w:r>
              <w:t>保护环境</w:t>
            </w:r>
          </w:p>
        </w:tc>
        <w:tc>
          <w:tcPr>
            <w:tcW w:w="2268" w:type="dxa"/>
            <w:vAlign w:val="center"/>
          </w:tcPr>
          <w:p>
            <w:pPr>
              <w:pStyle w:val="16"/>
            </w:pPr>
            <w:r>
              <w:t>实际情况</w:t>
            </w:r>
          </w:p>
        </w:tc>
      </w:tr>
      <w:tr>
        <w:trPr>
          <w:trHeight w:val="397" w:hRule="atLeast"/>
          <w:jc w:val="center"/>
        </w:trPr>
        <w:tc>
          <w:tcPr>
            <w:tcW w:w="2023"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职工对办公电子设备的满意程度</w:t>
            </w:r>
          </w:p>
        </w:tc>
        <w:tc>
          <w:tcPr>
            <w:tcW w:w="2551" w:type="dxa"/>
            <w:vAlign w:val="center"/>
          </w:tcPr>
          <w:p>
            <w:pPr>
              <w:pStyle w:val="16"/>
            </w:pPr>
            <w:r>
              <w:t>≥95%</w:t>
            </w:r>
          </w:p>
        </w:tc>
        <w:tc>
          <w:tcPr>
            <w:tcW w:w="2268" w:type="dxa"/>
            <w:vAlign w:val="center"/>
          </w:tcPr>
          <w:p>
            <w:pPr>
              <w:pStyle w:val="16"/>
            </w:pPr>
            <w:r>
              <w:t>实际情况</w:t>
            </w:r>
          </w:p>
          <w:p>
            <w:pPr>
              <w:pStyle w:val="16"/>
            </w:pPr>
            <w:r>
              <w:t>全额保障供应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37、北京大兴国际机场廊坊片区控制性详细规划绩效目标表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北京大兴国际机场临空经济区廊坊片区控制性详细规划项目在功能结构、总体容量、设施保障等方面发挥底线管控的重要作用，是临空经济区廊坊片区开展国土空间开发保护活动、实施国土空间用途管制、核发城乡建设项目规划许可、进行各项建设等的法定依据。</w:t>
            </w:r>
          </w:p>
          <w:p>
            <w:pPr>
              <w:pStyle w:val="16"/>
            </w:pPr>
            <w:r>
              <w:t>2.通过项目的有序开展，于2023年底完成北京大兴国际机场临空经济区廊坊片区控制性详细规划编制工作，包括单元层级控规和启动区部分地块街区层级控规两项成果内容。我单位将严格控制规划成本，于2023年12月底前完成本项目，编制成果评审合格率达到100%，项目总价编制成本不高于800万元，并保证提交2套完整成果。通过项目的开展，按照新的控制性详细规划编制导则形成成果文件，为解决临空经济区廊坊片区现行控规面临的问题提供思路，指导临空经济区廊坊片区城市建设，推动高质量发展，提升部门工作效率，提高生态利用率，并使本项目社会公众满意度达到90%以上。</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16"/>
        <w:gridCol w:w="2116"/>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816" w:type="dxa"/>
            <w:vAlign w:val="center"/>
          </w:tcPr>
          <w:p>
            <w:pPr>
              <w:pStyle w:val="14"/>
            </w:pPr>
            <w:r>
              <w:t>绩效指标描述</w:t>
            </w:r>
          </w:p>
        </w:tc>
        <w:tc>
          <w:tcPr>
            <w:tcW w:w="2116"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成果数量</w:t>
            </w:r>
          </w:p>
        </w:tc>
        <w:tc>
          <w:tcPr>
            <w:tcW w:w="2816" w:type="dxa"/>
            <w:vAlign w:val="center"/>
          </w:tcPr>
          <w:p>
            <w:pPr>
              <w:pStyle w:val="16"/>
            </w:pPr>
            <w:r>
              <w:t>提交1套成果：文本、图件（图纸、图则）、附件及数据库</w:t>
            </w:r>
          </w:p>
        </w:tc>
        <w:tc>
          <w:tcPr>
            <w:tcW w:w="2116" w:type="dxa"/>
            <w:vAlign w:val="center"/>
          </w:tcPr>
          <w:p>
            <w:pPr>
              <w:pStyle w:val="16"/>
            </w:pPr>
            <w:r>
              <w:t>1套</w:t>
            </w:r>
          </w:p>
        </w:tc>
        <w:tc>
          <w:tcPr>
            <w:tcW w:w="2466" w:type="dxa"/>
            <w:vAlign w:val="center"/>
          </w:tcPr>
          <w:p>
            <w:pPr>
              <w:pStyle w:val="16"/>
            </w:pPr>
            <w:r>
              <w:t>依据合同约定</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编制成果评审合格率</w:t>
            </w:r>
          </w:p>
        </w:tc>
        <w:tc>
          <w:tcPr>
            <w:tcW w:w="2816" w:type="dxa"/>
            <w:vAlign w:val="center"/>
          </w:tcPr>
          <w:p>
            <w:pPr>
              <w:pStyle w:val="16"/>
            </w:pPr>
            <w:r>
              <w:t>编制成果合格率=评审合格规划数量/总规划数量</w:t>
            </w:r>
          </w:p>
        </w:tc>
        <w:tc>
          <w:tcPr>
            <w:tcW w:w="2116" w:type="dxa"/>
            <w:vAlign w:val="center"/>
          </w:tcPr>
          <w:p>
            <w:pPr>
              <w:pStyle w:val="16"/>
            </w:pPr>
            <w:r>
              <w:t>100%</w:t>
            </w:r>
          </w:p>
        </w:tc>
        <w:tc>
          <w:tcPr>
            <w:tcW w:w="2466" w:type="dxa"/>
            <w:vAlign w:val="center"/>
          </w:tcPr>
          <w:p>
            <w:pPr>
              <w:pStyle w:val="16"/>
            </w:pPr>
            <w:r>
              <w:t>专家评审论证意见</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计划完成规划编制时间</w:t>
            </w:r>
          </w:p>
        </w:tc>
        <w:tc>
          <w:tcPr>
            <w:tcW w:w="2816" w:type="dxa"/>
            <w:vAlign w:val="center"/>
          </w:tcPr>
          <w:p>
            <w:pPr>
              <w:pStyle w:val="16"/>
            </w:pPr>
            <w:r>
              <w:t>按时提交项目成果</w:t>
            </w:r>
          </w:p>
        </w:tc>
        <w:tc>
          <w:tcPr>
            <w:tcW w:w="2116" w:type="dxa"/>
            <w:vAlign w:val="center"/>
          </w:tcPr>
          <w:p>
            <w:pPr>
              <w:pStyle w:val="16"/>
            </w:pPr>
            <w:r>
              <w:t>2023年12月31日前</w:t>
            </w:r>
          </w:p>
        </w:tc>
        <w:tc>
          <w:tcPr>
            <w:tcW w:w="2466" w:type="dxa"/>
            <w:vAlign w:val="center"/>
          </w:tcPr>
          <w:p>
            <w:pPr>
              <w:pStyle w:val="16"/>
            </w:pPr>
            <w:r>
              <w:t>依照合同约定时间</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成本控制总价</w:t>
            </w:r>
          </w:p>
        </w:tc>
        <w:tc>
          <w:tcPr>
            <w:tcW w:w="2816" w:type="dxa"/>
            <w:vAlign w:val="center"/>
          </w:tcPr>
          <w:p>
            <w:pPr>
              <w:pStyle w:val="16"/>
            </w:pPr>
            <w:r>
              <w:t>成本控制总价为800万元，超出约定不得分</w:t>
            </w:r>
          </w:p>
        </w:tc>
        <w:tc>
          <w:tcPr>
            <w:tcW w:w="2116" w:type="dxa"/>
            <w:vAlign w:val="center"/>
          </w:tcPr>
          <w:p>
            <w:pPr>
              <w:pStyle w:val="16"/>
            </w:pPr>
            <w:r>
              <w:t>≥800万元</w:t>
            </w:r>
          </w:p>
        </w:tc>
        <w:tc>
          <w:tcPr>
            <w:tcW w:w="2466" w:type="dxa"/>
            <w:vAlign w:val="center"/>
          </w:tcPr>
          <w:p>
            <w:pPr>
              <w:pStyle w:val="16"/>
            </w:pPr>
            <w:r>
              <w:t>依照合同约定时间</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提升部门工作效率</w:t>
            </w:r>
          </w:p>
        </w:tc>
        <w:tc>
          <w:tcPr>
            <w:tcW w:w="2816" w:type="dxa"/>
            <w:vAlign w:val="center"/>
          </w:tcPr>
          <w:p>
            <w:pPr>
              <w:pStyle w:val="16"/>
            </w:pPr>
            <w:r>
              <w:t>通过项目编制更加快速科学合理的指导临空区项目建设</w:t>
            </w:r>
          </w:p>
        </w:tc>
        <w:tc>
          <w:tcPr>
            <w:tcW w:w="2116" w:type="dxa"/>
            <w:vAlign w:val="center"/>
          </w:tcPr>
          <w:p>
            <w:pPr>
              <w:pStyle w:val="16"/>
            </w:pPr>
            <w:r>
              <w:t>提高</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提高生态利用率</w:t>
            </w:r>
          </w:p>
        </w:tc>
        <w:tc>
          <w:tcPr>
            <w:tcW w:w="2816" w:type="dxa"/>
            <w:vAlign w:val="center"/>
          </w:tcPr>
          <w:p>
            <w:pPr>
              <w:pStyle w:val="16"/>
            </w:pPr>
            <w:r>
              <w:t>分析临空区现状生态保护与建设情况，提出生态空间兼具保护与利用的措施和建议</w:t>
            </w:r>
          </w:p>
        </w:tc>
        <w:tc>
          <w:tcPr>
            <w:tcW w:w="2116" w:type="dxa"/>
            <w:vAlign w:val="center"/>
          </w:tcPr>
          <w:p>
            <w:pPr>
              <w:pStyle w:val="16"/>
            </w:pPr>
            <w:r>
              <w:t>提高</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指导临空经济区廊坊片区城市建设</w:t>
            </w:r>
          </w:p>
        </w:tc>
        <w:tc>
          <w:tcPr>
            <w:tcW w:w="2816" w:type="dxa"/>
            <w:vAlign w:val="center"/>
          </w:tcPr>
          <w:p>
            <w:pPr>
              <w:pStyle w:val="16"/>
            </w:pPr>
            <w:r>
              <w:t>通过对用地情况梳理，为临空区后期工作成效和问题分析提供支撑</w:t>
            </w:r>
          </w:p>
        </w:tc>
        <w:tc>
          <w:tcPr>
            <w:tcW w:w="2116" w:type="dxa"/>
            <w:vAlign w:val="center"/>
          </w:tcPr>
          <w:p>
            <w:pPr>
              <w:pStyle w:val="16"/>
            </w:pPr>
            <w:r>
              <w:t>支撑</w:t>
            </w:r>
          </w:p>
        </w:tc>
        <w:tc>
          <w:tcPr>
            <w:tcW w:w="2466" w:type="dxa"/>
            <w:vAlign w:val="center"/>
          </w:tcPr>
          <w:p>
            <w:pPr>
              <w:pStyle w:val="16"/>
            </w:pPr>
            <w:r>
              <w:t>效果显著</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项目社会公众满意度</w:t>
            </w:r>
          </w:p>
        </w:tc>
        <w:tc>
          <w:tcPr>
            <w:tcW w:w="2816" w:type="dxa"/>
            <w:vAlign w:val="center"/>
          </w:tcPr>
          <w:p>
            <w:pPr>
              <w:pStyle w:val="16"/>
            </w:pPr>
            <w:r>
              <w:t>提升服务对象满意度</w:t>
            </w:r>
          </w:p>
        </w:tc>
        <w:tc>
          <w:tcPr>
            <w:tcW w:w="2116" w:type="dxa"/>
            <w:vAlign w:val="center"/>
          </w:tcPr>
          <w:p>
            <w:pPr>
              <w:pStyle w:val="16"/>
            </w:pPr>
            <w:r>
              <w:t>≥90%</w:t>
            </w:r>
          </w:p>
        </w:tc>
        <w:tc>
          <w:tcPr>
            <w:tcW w:w="2466"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38、北京大兴国际机场综合保税区运行维护绩效目标表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1.做好“一个机构、三方参与，一个平台、协商分配”的京冀协调发展战略，保障北京大兴国际机场综合保税区封关验收完成后综保区封关验收后高效运行。</w:t>
            </w:r>
          </w:p>
          <w:p>
            <w:pPr>
              <w:pStyle w:val="16"/>
            </w:pPr>
            <w:r>
              <w:t>2.通过为海关提供协勤、保安、办公设施管理等服务，保障海关综保区监管业务正常进行。</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609"/>
        <w:gridCol w:w="2366"/>
        <w:gridCol w:w="3423"/>
        <w:gridCol w:w="1695"/>
        <w:gridCol w:w="3237"/>
      </w:tblGrid>
      <w:tr>
        <w:trPr>
          <w:trHeight w:val="397" w:hRule="atLeast"/>
          <w:tblHeader/>
          <w:jc w:val="center"/>
        </w:trPr>
        <w:tc>
          <w:tcPr>
            <w:tcW w:w="2466" w:type="dxa"/>
            <w:vAlign w:val="center"/>
          </w:tcPr>
          <w:p>
            <w:pPr>
              <w:pStyle w:val="14"/>
            </w:pPr>
            <w:r>
              <w:t>一级指标</w:t>
            </w:r>
          </w:p>
        </w:tc>
        <w:tc>
          <w:tcPr>
            <w:tcW w:w="1609" w:type="dxa"/>
            <w:vAlign w:val="center"/>
          </w:tcPr>
          <w:p>
            <w:pPr>
              <w:pStyle w:val="14"/>
            </w:pPr>
            <w:r>
              <w:t>二级指标</w:t>
            </w:r>
          </w:p>
        </w:tc>
        <w:tc>
          <w:tcPr>
            <w:tcW w:w="2366" w:type="dxa"/>
            <w:vAlign w:val="center"/>
          </w:tcPr>
          <w:p>
            <w:pPr>
              <w:pStyle w:val="14"/>
            </w:pPr>
            <w:r>
              <w:t>三级指标</w:t>
            </w:r>
          </w:p>
        </w:tc>
        <w:tc>
          <w:tcPr>
            <w:tcW w:w="3423" w:type="dxa"/>
            <w:vAlign w:val="center"/>
          </w:tcPr>
          <w:p>
            <w:pPr>
              <w:pStyle w:val="14"/>
            </w:pPr>
            <w:r>
              <w:t>绩效指标描述</w:t>
            </w:r>
          </w:p>
        </w:tc>
        <w:tc>
          <w:tcPr>
            <w:tcW w:w="1695" w:type="dxa"/>
            <w:vAlign w:val="center"/>
          </w:tcPr>
          <w:p>
            <w:pPr>
              <w:pStyle w:val="14"/>
            </w:pPr>
            <w:r>
              <w:t>指标值</w:t>
            </w:r>
          </w:p>
        </w:tc>
        <w:tc>
          <w:tcPr>
            <w:tcW w:w="3237"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609" w:type="dxa"/>
            <w:vAlign w:val="center"/>
          </w:tcPr>
          <w:p>
            <w:pPr>
              <w:pStyle w:val="16"/>
            </w:pPr>
            <w:r>
              <w:t>数量指标</w:t>
            </w:r>
          </w:p>
        </w:tc>
        <w:tc>
          <w:tcPr>
            <w:tcW w:w="2366" w:type="dxa"/>
            <w:vAlign w:val="center"/>
          </w:tcPr>
          <w:p>
            <w:pPr>
              <w:pStyle w:val="16"/>
            </w:pPr>
            <w:r>
              <w:t>海关协勤保障人数</w:t>
            </w:r>
          </w:p>
        </w:tc>
        <w:tc>
          <w:tcPr>
            <w:tcW w:w="3423" w:type="dxa"/>
            <w:vAlign w:val="center"/>
          </w:tcPr>
          <w:p>
            <w:pPr>
              <w:pStyle w:val="16"/>
            </w:pPr>
            <w:r>
              <w:t>按照海关初步要求并参考天竺综保区协勤用工人数标准</w:t>
            </w:r>
          </w:p>
        </w:tc>
        <w:tc>
          <w:tcPr>
            <w:tcW w:w="1695" w:type="dxa"/>
            <w:vAlign w:val="center"/>
          </w:tcPr>
          <w:p>
            <w:pPr>
              <w:pStyle w:val="16"/>
            </w:pPr>
            <w:r>
              <w:t>≤25人</w:t>
            </w:r>
          </w:p>
        </w:tc>
        <w:tc>
          <w:tcPr>
            <w:tcW w:w="3237" w:type="dxa"/>
            <w:vAlign w:val="center"/>
          </w:tcPr>
          <w:p>
            <w:pPr>
              <w:pStyle w:val="16"/>
            </w:pPr>
            <w:r>
              <w:t>按照北京海关初步要求</w:t>
            </w:r>
          </w:p>
        </w:tc>
      </w:tr>
      <w:tr>
        <w:trPr>
          <w:trHeight w:val="397" w:hRule="atLeast"/>
          <w:jc w:val="center"/>
        </w:trPr>
        <w:tc>
          <w:tcPr>
            <w:tcW w:w="2466" w:type="dxa"/>
            <w:vMerge w:val="continue"/>
            <w:vAlign w:val="center"/>
          </w:tcPr>
          <w:p/>
        </w:tc>
        <w:tc>
          <w:tcPr>
            <w:tcW w:w="1609" w:type="dxa"/>
            <w:vAlign w:val="center"/>
          </w:tcPr>
          <w:p>
            <w:pPr>
              <w:pStyle w:val="16"/>
            </w:pPr>
            <w:r>
              <w:t>数量指标</w:t>
            </w:r>
          </w:p>
        </w:tc>
        <w:tc>
          <w:tcPr>
            <w:tcW w:w="2366" w:type="dxa"/>
            <w:vAlign w:val="center"/>
          </w:tcPr>
          <w:p>
            <w:pPr>
              <w:pStyle w:val="16"/>
            </w:pPr>
            <w:r>
              <w:t>消防中控室、变配电室值班人员</w:t>
            </w:r>
          </w:p>
        </w:tc>
        <w:tc>
          <w:tcPr>
            <w:tcW w:w="3423" w:type="dxa"/>
            <w:vAlign w:val="center"/>
          </w:tcPr>
          <w:p>
            <w:pPr>
              <w:pStyle w:val="16"/>
            </w:pPr>
            <w:r>
              <w:t>按照海关初步要求并参考天竺综保区协勤用工人数标准</w:t>
            </w:r>
          </w:p>
        </w:tc>
        <w:tc>
          <w:tcPr>
            <w:tcW w:w="1695" w:type="dxa"/>
            <w:vAlign w:val="center"/>
          </w:tcPr>
          <w:p>
            <w:pPr>
              <w:pStyle w:val="16"/>
            </w:pPr>
            <w:r>
              <w:t>≤21人</w:t>
            </w:r>
          </w:p>
        </w:tc>
        <w:tc>
          <w:tcPr>
            <w:tcW w:w="3237" w:type="dxa"/>
            <w:vAlign w:val="center"/>
          </w:tcPr>
          <w:p>
            <w:pPr>
              <w:pStyle w:val="16"/>
            </w:pPr>
            <w:r>
              <w:t>按照北京海关初步要求</w:t>
            </w:r>
          </w:p>
        </w:tc>
      </w:tr>
      <w:tr>
        <w:trPr>
          <w:trHeight w:val="397" w:hRule="atLeast"/>
          <w:jc w:val="center"/>
        </w:trPr>
        <w:tc>
          <w:tcPr>
            <w:tcW w:w="2466" w:type="dxa"/>
            <w:vMerge w:val="continue"/>
            <w:vAlign w:val="center"/>
          </w:tcPr>
          <w:p/>
        </w:tc>
        <w:tc>
          <w:tcPr>
            <w:tcW w:w="1609" w:type="dxa"/>
            <w:vAlign w:val="center"/>
          </w:tcPr>
          <w:p>
            <w:pPr>
              <w:pStyle w:val="16"/>
            </w:pPr>
            <w:r>
              <w:t>数量指标</w:t>
            </w:r>
          </w:p>
        </w:tc>
        <w:tc>
          <w:tcPr>
            <w:tcW w:w="2366" w:type="dxa"/>
            <w:vAlign w:val="center"/>
          </w:tcPr>
          <w:p>
            <w:pPr>
              <w:pStyle w:val="16"/>
            </w:pPr>
            <w:r>
              <w:t>综保区安保服务</w:t>
            </w:r>
          </w:p>
        </w:tc>
        <w:tc>
          <w:tcPr>
            <w:tcW w:w="3423" w:type="dxa"/>
            <w:vAlign w:val="center"/>
          </w:tcPr>
          <w:p>
            <w:pPr>
              <w:pStyle w:val="16"/>
            </w:pPr>
            <w:r>
              <w:t>按照海关初步要求并参考天竺综保区协勤用工人数标准</w:t>
            </w:r>
          </w:p>
        </w:tc>
        <w:tc>
          <w:tcPr>
            <w:tcW w:w="1695" w:type="dxa"/>
            <w:vAlign w:val="center"/>
          </w:tcPr>
          <w:p>
            <w:pPr>
              <w:pStyle w:val="16"/>
            </w:pPr>
            <w:r>
              <w:t>≤36人</w:t>
            </w:r>
          </w:p>
        </w:tc>
        <w:tc>
          <w:tcPr>
            <w:tcW w:w="3237" w:type="dxa"/>
            <w:vAlign w:val="center"/>
          </w:tcPr>
          <w:p>
            <w:pPr>
              <w:pStyle w:val="16"/>
            </w:pPr>
            <w:r>
              <w:t>《北京市安保服务质量标准》</w:t>
            </w:r>
          </w:p>
        </w:tc>
      </w:tr>
      <w:tr>
        <w:trPr>
          <w:trHeight w:val="397" w:hRule="atLeast"/>
          <w:jc w:val="center"/>
        </w:trPr>
        <w:tc>
          <w:tcPr>
            <w:tcW w:w="2466" w:type="dxa"/>
            <w:vMerge w:val="continue"/>
            <w:vAlign w:val="center"/>
          </w:tcPr>
          <w:p/>
        </w:tc>
        <w:tc>
          <w:tcPr>
            <w:tcW w:w="1609" w:type="dxa"/>
            <w:vAlign w:val="center"/>
          </w:tcPr>
          <w:p>
            <w:pPr>
              <w:pStyle w:val="16"/>
            </w:pPr>
            <w:r>
              <w:t>数量指标</w:t>
            </w:r>
          </w:p>
        </w:tc>
        <w:tc>
          <w:tcPr>
            <w:tcW w:w="2366" w:type="dxa"/>
            <w:vAlign w:val="center"/>
          </w:tcPr>
          <w:p>
            <w:pPr>
              <w:pStyle w:val="16"/>
            </w:pPr>
            <w:r>
              <w:t>货运区协管员服务外包</w:t>
            </w:r>
          </w:p>
        </w:tc>
        <w:tc>
          <w:tcPr>
            <w:tcW w:w="3423" w:type="dxa"/>
            <w:vAlign w:val="center"/>
          </w:tcPr>
          <w:p>
            <w:pPr>
              <w:pStyle w:val="16"/>
            </w:pPr>
            <w:r>
              <w:t>按照海关初步要求并参考天竺综保区协勤用工人数标准</w:t>
            </w:r>
          </w:p>
        </w:tc>
        <w:tc>
          <w:tcPr>
            <w:tcW w:w="1695" w:type="dxa"/>
            <w:vAlign w:val="center"/>
          </w:tcPr>
          <w:p>
            <w:pPr>
              <w:pStyle w:val="16"/>
            </w:pPr>
            <w:r>
              <w:t>≤20人</w:t>
            </w:r>
          </w:p>
        </w:tc>
        <w:tc>
          <w:tcPr>
            <w:tcW w:w="3237" w:type="dxa"/>
            <w:vAlign w:val="center"/>
          </w:tcPr>
          <w:p>
            <w:pPr>
              <w:pStyle w:val="16"/>
            </w:pPr>
            <w:r>
              <w:t>按照北京海关初步要求</w:t>
            </w:r>
          </w:p>
        </w:tc>
      </w:tr>
      <w:tr>
        <w:trPr>
          <w:trHeight w:val="397" w:hRule="atLeast"/>
          <w:jc w:val="center"/>
        </w:trPr>
        <w:tc>
          <w:tcPr>
            <w:tcW w:w="2466" w:type="dxa"/>
            <w:vMerge w:val="continue"/>
            <w:vAlign w:val="center"/>
          </w:tcPr>
          <w:p/>
        </w:tc>
        <w:tc>
          <w:tcPr>
            <w:tcW w:w="1609" w:type="dxa"/>
            <w:vAlign w:val="center"/>
          </w:tcPr>
          <w:p>
            <w:pPr>
              <w:pStyle w:val="16"/>
            </w:pPr>
            <w:r>
              <w:t>质量指标</w:t>
            </w:r>
          </w:p>
        </w:tc>
        <w:tc>
          <w:tcPr>
            <w:tcW w:w="2366" w:type="dxa"/>
            <w:vAlign w:val="center"/>
          </w:tcPr>
          <w:p>
            <w:pPr>
              <w:pStyle w:val="16"/>
            </w:pPr>
            <w:r>
              <w:t>服务人员出勤率</w:t>
            </w:r>
          </w:p>
        </w:tc>
        <w:tc>
          <w:tcPr>
            <w:tcW w:w="3423" w:type="dxa"/>
            <w:vAlign w:val="center"/>
          </w:tcPr>
          <w:p>
            <w:pPr>
              <w:pStyle w:val="16"/>
            </w:pPr>
            <w:r>
              <w:t>北京大兴综保区服务人员符合工作出勤标准</w:t>
            </w:r>
          </w:p>
        </w:tc>
        <w:tc>
          <w:tcPr>
            <w:tcW w:w="1695" w:type="dxa"/>
            <w:vAlign w:val="center"/>
          </w:tcPr>
          <w:p>
            <w:pPr>
              <w:pStyle w:val="16"/>
            </w:pPr>
            <w:r>
              <w:t>≥98%</w:t>
            </w:r>
          </w:p>
        </w:tc>
        <w:tc>
          <w:tcPr>
            <w:tcW w:w="3237" w:type="dxa"/>
            <w:vAlign w:val="center"/>
          </w:tcPr>
          <w:p>
            <w:pPr>
              <w:pStyle w:val="16"/>
            </w:pPr>
            <w:r>
              <w:t>按照北京海关初步要求</w:t>
            </w:r>
          </w:p>
        </w:tc>
      </w:tr>
      <w:tr>
        <w:trPr>
          <w:trHeight w:val="397" w:hRule="atLeast"/>
          <w:jc w:val="center"/>
        </w:trPr>
        <w:tc>
          <w:tcPr>
            <w:tcW w:w="2466" w:type="dxa"/>
            <w:vMerge w:val="continue"/>
            <w:vAlign w:val="center"/>
          </w:tcPr>
          <w:p/>
        </w:tc>
        <w:tc>
          <w:tcPr>
            <w:tcW w:w="1609" w:type="dxa"/>
            <w:vAlign w:val="center"/>
          </w:tcPr>
          <w:p>
            <w:pPr>
              <w:pStyle w:val="16"/>
            </w:pPr>
            <w:r>
              <w:t>时效指标</w:t>
            </w:r>
          </w:p>
        </w:tc>
        <w:tc>
          <w:tcPr>
            <w:tcW w:w="2366" w:type="dxa"/>
            <w:vAlign w:val="center"/>
          </w:tcPr>
          <w:p>
            <w:pPr>
              <w:pStyle w:val="16"/>
            </w:pPr>
            <w:r>
              <w:t>服务响应效率</w:t>
            </w:r>
          </w:p>
        </w:tc>
        <w:tc>
          <w:tcPr>
            <w:tcW w:w="3423" w:type="dxa"/>
            <w:vAlign w:val="center"/>
          </w:tcPr>
          <w:p>
            <w:pPr>
              <w:pStyle w:val="16"/>
            </w:pPr>
            <w:r>
              <w:t>服务人员达到入区企业、入区工作人员的认可</w:t>
            </w:r>
          </w:p>
        </w:tc>
        <w:tc>
          <w:tcPr>
            <w:tcW w:w="1695" w:type="dxa"/>
            <w:vAlign w:val="center"/>
          </w:tcPr>
          <w:p>
            <w:pPr>
              <w:pStyle w:val="16"/>
            </w:pPr>
            <w:r>
              <w:t>≤24小时</w:t>
            </w:r>
          </w:p>
        </w:tc>
        <w:tc>
          <w:tcPr>
            <w:tcW w:w="3237" w:type="dxa"/>
            <w:vAlign w:val="center"/>
          </w:tcPr>
          <w:p>
            <w:pPr>
              <w:pStyle w:val="16"/>
            </w:pPr>
            <w:r>
              <w:t>《北京市物业管理条例》</w:t>
            </w:r>
          </w:p>
        </w:tc>
      </w:tr>
      <w:tr>
        <w:trPr>
          <w:trHeight w:val="397" w:hRule="atLeast"/>
          <w:jc w:val="center"/>
        </w:trPr>
        <w:tc>
          <w:tcPr>
            <w:tcW w:w="2466" w:type="dxa"/>
            <w:vMerge w:val="continue"/>
            <w:vAlign w:val="center"/>
          </w:tcPr>
          <w:p/>
        </w:tc>
        <w:tc>
          <w:tcPr>
            <w:tcW w:w="1609" w:type="dxa"/>
            <w:vAlign w:val="center"/>
          </w:tcPr>
          <w:p>
            <w:pPr>
              <w:pStyle w:val="16"/>
            </w:pPr>
            <w:r>
              <w:t>成本指标</w:t>
            </w:r>
          </w:p>
        </w:tc>
        <w:tc>
          <w:tcPr>
            <w:tcW w:w="2366" w:type="dxa"/>
            <w:vAlign w:val="center"/>
          </w:tcPr>
          <w:p>
            <w:pPr>
              <w:pStyle w:val="16"/>
            </w:pPr>
            <w:r>
              <w:t>海关协勤保障人员成本</w:t>
            </w:r>
          </w:p>
        </w:tc>
        <w:tc>
          <w:tcPr>
            <w:tcW w:w="3423" w:type="dxa"/>
            <w:vAlign w:val="center"/>
          </w:tcPr>
          <w:p>
            <w:pPr>
              <w:pStyle w:val="16"/>
            </w:pPr>
            <w:r>
              <w:t>按照海关初步要求并参考天竺综保区协勤用工成本标准</w:t>
            </w:r>
          </w:p>
        </w:tc>
        <w:tc>
          <w:tcPr>
            <w:tcW w:w="1695" w:type="dxa"/>
            <w:vAlign w:val="center"/>
          </w:tcPr>
          <w:p>
            <w:pPr>
              <w:pStyle w:val="16"/>
            </w:pPr>
            <w:r>
              <w:t>≤10000元/人/月</w:t>
            </w:r>
          </w:p>
        </w:tc>
        <w:tc>
          <w:tcPr>
            <w:tcW w:w="3237" w:type="dxa"/>
            <w:vAlign w:val="center"/>
          </w:tcPr>
          <w:p>
            <w:pPr>
              <w:pStyle w:val="16"/>
            </w:pPr>
            <w:r>
              <w:t>天竺20年人工成本10000，且每年增长</w:t>
            </w:r>
          </w:p>
        </w:tc>
      </w:tr>
      <w:tr>
        <w:trPr>
          <w:trHeight w:val="397" w:hRule="atLeast"/>
          <w:jc w:val="center"/>
        </w:trPr>
        <w:tc>
          <w:tcPr>
            <w:tcW w:w="2466" w:type="dxa"/>
            <w:vMerge w:val="continue"/>
            <w:vAlign w:val="center"/>
          </w:tcPr>
          <w:p/>
        </w:tc>
        <w:tc>
          <w:tcPr>
            <w:tcW w:w="1609" w:type="dxa"/>
            <w:vAlign w:val="center"/>
          </w:tcPr>
          <w:p>
            <w:pPr>
              <w:pStyle w:val="16"/>
            </w:pPr>
            <w:r>
              <w:t>成本指标</w:t>
            </w:r>
          </w:p>
        </w:tc>
        <w:tc>
          <w:tcPr>
            <w:tcW w:w="2366" w:type="dxa"/>
            <w:vAlign w:val="center"/>
          </w:tcPr>
          <w:p>
            <w:pPr>
              <w:pStyle w:val="16"/>
            </w:pPr>
            <w:r>
              <w:t>消防中控室、变配电室值班人员成本</w:t>
            </w:r>
          </w:p>
        </w:tc>
        <w:tc>
          <w:tcPr>
            <w:tcW w:w="3423" w:type="dxa"/>
            <w:vAlign w:val="center"/>
          </w:tcPr>
          <w:p>
            <w:pPr>
              <w:pStyle w:val="16"/>
            </w:pPr>
            <w:r>
              <w:t>按照海关初步要求并参考天竺综保区协勤用工成本标准</w:t>
            </w:r>
          </w:p>
        </w:tc>
        <w:tc>
          <w:tcPr>
            <w:tcW w:w="1695" w:type="dxa"/>
            <w:vAlign w:val="center"/>
          </w:tcPr>
          <w:p>
            <w:pPr>
              <w:pStyle w:val="16"/>
            </w:pPr>
            <w:r>
              <w:t>≤8000元/人/月</w:t>
            </w:r>
          </w:p>
        </w:tc>
        <w:tc>
          <w:tcPr>
            <w:tcW w:w="3237" w:type="dxa"/>
            <w:vAlign w:val="center"/>
          </w:tcPr>
          <w:p>
            <w:pPr>
              <w:pStyle w:val="16"/>
            </w:pPr>
            <w:r>
              <w:t>按照海关初步要求并参考天竺综保区协勤用工标准</w:t>
            </w:r>
          </w:p>
        </w:tc>
      </w:tr>
      <w:tr>
        <w:trPr>
          <w:trHeight w:val="397" w:hRule="atLeast"/>
          <w:jc w:val="center"/>
        </w:trPr>
        <w:tc>
          <w:tcPr>
            <w:tcW w:w="2466" w:type="dxa"/>
            <w:vMerge w:val="continue"/>
            <w:vAlign w:val="center"/>
          </w:tcPr>
          <w:p/>
        </w:tc>
        <w:tc>
          <w:tcPr>
            <w:tcW w:w="1609" w:type="dxa"/>
            <w:vAlign w:val="center"/>
          </w:tcPr>
          <w:p>
            <w:pPr>
              <w:pStyle w:val="16"/>
            </w:pPr>
            <w:r>
              <w:t>成本指标</w:t>
            </w:r>
          </w:p>
        </w:tc>
        <w:tc>
          <w:tcPr>
            <w:tcW w:w="2366" w:type="dxa"/>
            <w:vAlign w:val="center"/>
          </w:tcPr>
          <w:p>
            <w:pPr>
              <w:pStyle w:val="16"/>
            </w:pPr>
            <w:r>
              <w:t>综保区安保服务人员成本</w:t>
            </w:r>
          </w:p>
        </w:tc>
        <w:tc>
          <w:tcPr>
            <w:tcW w:w="3423" w:type="dxa"/>
            <w:vAlign w:val="center"/>
          </w:tcPr>
          <w:p>
            <w:pPr>
              <w:pStyle w:val="16"/>
            </w:pPr>
            <w:r>
              <w:t>按照海关初步要求并参考天竺综保区协勤用工成本标准</w:t>
            </w:r>
          </w:p>
        </w:tc>
        <w:tc>
          <w:tcPr>
            <w:tcW w:w="1695" w:type="dxa"/>
            <w:vAlign w:val="center"/>
          </w:tcPr>
          <w:p>
            <w:pPr>
              <w:pStyle w:val="16"/>
            </w:pPr>
            <w:r>
              <w:t>≤6320元/人/月</w:t>
            </w:r>
          </w:p>
        </w:tc>
        <w:tc>
          <w:tcPr>
            <w:tcW w:w="3237" w:type="dxa"/>
            <w:vAlign w:val="center"/>
          </w:tcPr>
          <w:p>
            <w:pPr>
              <w:pStyle w:val="16"/>
            </w:pPr>
            <w:r>
              <w:t>关于执行《2018-2019年度北京保安服务法定成本标准》的通知</w:t>
            </w:r>
          </w:p>
        </w:tc>
      </w:tr>
      <w:tr>
        <w:trPr>
          <w:trHeight w:val="397" w:hRule="atLeast"/>
          <w:jc w:val="center"/>
        </w:trPr>
        <w:tc>
          <w:tcPr>
            <w:tcW w:w="2466" w:type="dxa"/>
            <w:vMerge w:val="continue"/>
            <w:vAlign w:val="center"/>
          </w:tcPr>
          <w:p/>
        </w:tc>
        <w:tc>
          <w:tcPr>
            <w:tcW w:w="1609" w:type="dxa"/>
            <w:vAlign w:val="center"/>
          </w:tcPr>
          <w:p>
            <w:pPr>
              <w:pStyle w:val="16"/>
            </w:pPr>
            <w:r>
              <w:t>成本指标</w:t>
            </w:r>
          </w:p>
        </w:tc>
        <w:tc>
          <w:tcPr>
            <w:tcW w:w="2366" w:type="dxa"/>
            <w:vAlign w:val="center"/>
          </w:tcPr>
          <w:p>
            <w:pPr>
              <w:pStyle w:val="16"/>
            </w:pPr>
            <w:r>
              <w:t>货运区协管员服务外包成本</w:t>
            </w:r>
          </w:p>
        </w:tc>
        <w:tc>
          <w:tcPr>
            <w:tcW w:w="3423" w:type="dxa"/>
            <w:vAlign w:val="center"/>
          </w:tcPr>
          <w:p>
            <w:pPr>
              <w:pStyle w:val="16"/>
            </w:pPr>
            <w:r>
              <w:t>按照海关初步要求并参考天竺综保区协勤用工成本标准</w:t>
            </w:r>
          </w:p>
        </w:tc>
        <w:tc>
          <w:tcPr>
            <w:tcW w:w="1695" w:type="dxa"/>
            <w:vAlign w:val="center"/>
          </w:tcPr>
          <w:p>
            <w:pPr>
              <w:pStyle w:val="16"/>
            </w:pPr>
            <w:r>
              <w:t>≤11997.93元/人/月</w:t>
            </w:r>
          </w:p>
        </w:tc>
        <w:tc>
          <w:tcPr>
            <w:tcW w:w="3237" w:type="dxa"/>
            <w:vAlign w:val="center"/>
          </w:tcPr>
          <w:p>
            <w:pPr>
              <w:pStyle w:val="16"/>
            </w:pPr>
            <w:r>
              <w:t>《北京市安保服务质量标准》、关于执行《2018-2019年度北京保安服务法定成本标准》的通知</w:t>
            </w:r>
          </w:p>
        </w:tc>
      </w:tr>
      <w:tr>
        <w:trPr>
          <w:trHeight w:val="397" w:hRule="atLeast"/>
          <w:jc w:val="center"/>
        </w:trPr>
        <w:tc>
          <w:tcPr>
            <w:tcW w:w="2466" w:type="dxa"/>
            <w:vMerge w:val="restart"/>
            <w:vAlign w:val="center"/>
          </w:tcPr>
          <w:p>
            <w:pPr>
              <w:pStyle w:val="17"/>
            </w:pPr>
            <w:r>
              <w:t>效益指标</w:t>
            </w:r>
          </w:p>
        </w:tc>
        <w:tc>
          <w:tcPr>
            <w:tcW w:w="1609" w:type="dxa"/>
            <w:vAlign w:val="center"/>
          </w:tcPr>
          <w:p>
            <w:pPr>
              <w:pStyle w:val="16"/>
            </w:pPr>
            <w:r>
              <w:t>社会效益指标</w:t>
            </w:r>
          </w:p>
        </w:tc>
        <w:tc>
          <w:tcPr>
            <w:tcW w:w="2366" w:type="dxa"/>
            <w:vAlign w:val="center"/>
          </w:tcPr>
          <w:p>
            <w:pPr>
              <w:pStyle w:val="16"/>
            </w:pPr>
            <w:r>
              <w:t>为海关对综保区日常监管提供保障</w:t>
            </w:r>
          </w:p>
        </w:tc>
        <w:tc>
          <w:tcPr>
            <w:tcW w:w="3423" w:type="dxa"/>
            <w:vAlign w:val="center"/>
          </w:tcPr>
          <w:p>
            <w:pPr>
              <w:pStyle w:val="16"/>
            </w:pPr>
            <w:r>
              <w:t>保障北京大兴综合保税区稳步运行</w:t>
            </w:r>
          </w:p>
        </w:tc>
        <w:tc>
          <w:tcPr>
            <w:tcW w:w="1695" w:type="dxa"/>
            <w:vAlign w:val="center"/>
          </w:tcPr>
          <w:p>
            <w:pPr>
              <w:pStyle w:val="16"/>
            </w:pPr>
            <w:r>
              <w:t>保障</w:t>
            </w:r>
          </w:p>
        </w:tc>
        <w:tc>
          <w:tcPr>
            <w:tcW w:w="3237" w:type="dxa"/>
            <w:vAlign w:val="center"/>
          </w:tcPr>
          <w:p>
            <w:pPr>
              <w:pStyle w:val="16"/>
            </w:pPr>
            <w:r>
              <w:t>《关于北京大兴国际机场临空经济区京冀联合工作领导小组第二次会议纪要》</w:t>
            </w:r>
          </w:p>
        </w:tc>
      </w:tr>
      <w:tr>
        <w:trPr>
          <w:trHeight w:val="397" w:hRule="atLeast"/>
          <w:jc w:val="center"/>
        </w:trPr>
        <w:tc>
          <w:tcPr>
            <w:tcW w:w="2466" w:type="dxa"/>
            <w:vMerge w:val="continue"/>
            <w:vAlign w:val="center"/>
          </w:tcPr>
          <w:p/>
        </w:tc>
        <w:tc>
          <w:tcPr>
            <w:tcW w:w="1609" w:type="dxa"/>
            <w:vAlign w:val="center"/>
          </w:tcPr>
          <w:p>
            <w:pPr>
              <w:pStyle w:val="16"/>
            </w:pPr>
            <w:r>
              <w:t>生态效益指标</w:t>
            </w:r>
          </w:p>
        </w:tc>
        <w:tc>
          <w:tcPr>
            <w:tcW w:w="2366" w:type="dxa"/>
            <w:vAlign w:val="center"/>
          </w:tcPr>
          <w:p>
            <w:pPr>
              <w:pStyle w:val="16"/>
            </w:pPr>
            <w:r>
              <w:t>园区虫鼠害防治合格率</w:t>
            </w:r>
          </w:p>
        </w:tc>
        <w:tc>
          <w:tcPr>
            <w:tcW w:w="3423" w:type="dxa"/>
            <w:vAlign w:val="center"/>
          </w:tcPr>
          <w:p>
            <w:pPr>
              <w:pStyle w:val="16"/>
            </w:pPr>
            <w:r>
              <w:t>有效防治园区虫鼠害，维护园区环境，保障入区企业安全</w:t>
            </w:r>
          </w:p>
        </w:tc>
        <w:tc>
          <w:tcPr>
            <w:tcW w:w="1695" w:type="dxa"/>
            <w:vAlign w:val="center"/>
          </w:tcPr>
          <w:p>
            <w:pPr>
              <w:pStyle w:val="16"/>
            </w:pPr>
            <w:r>
              <w:t>≥95%</w:t>
            </w:r>
          </w:p>
        </w:tc>
        <w:tc>
          <w:tcPr>
            <w:tcW w:w="3237" w:type="dxa"/>
            <w:vAlign w:val="center"/>
          </w:tcPr>
          <w:p>
            <w:pPr>
              <w:pStyle w:val="16"/>
            </w:pPr>
            <w:r>
              <w:t>《病媒生物综合管理技术规范环境治理鼠类》</w:t>
            </w:r>
          </w:p>
        </w:tc>
      </w:tr>
      <w:tr>
        <w:trPr>
          <w:trHeight w:val="397" w:hRule="atLeast"/>
          <w:jc w:val="center"/>
        </w:trPr>
        <w:tc>
          <w:tcPr>
            <w:tcW w:w="2466" w:type="dxa"/>
            <w:vAlign w:val="center"/>
          </w:tcPr>
          <w:p>
            <w:pPr>
              <w:pStyle w:val="17"/>
            </w:pPr>
            <w:r>
              <w:t>满意度指标</w:t>
            </w:r>
          </w:p>
        </w:tc>
        <w:tc>
          <w:tcPr>
            <w:tcW w:w="1609" w:type="dxa"/>
            <w:vAlign w:val="center"/>
          </w:tcPr>
          <w:p>
            <w:pPr>
              <w:pStyle w:val="16"/>
            </w:pPr>
            <w:r>
              <w:t>服务对象满意度指标</w:t>
            </w:r>
          </w:p>
        </w:tc>
        <w:tc>
          <w:tcPr>
            <w:tcW w:w="2366" w:type="dxa"/>
            <w:vAlign w:val="center"/>
          </w:tcPr>
          <w:p>
            <w:pPr>
              <w:pStyle w:val="16"/>
            </w:pPr>
            <w:r>
              <w:t>海关满意度</w:t>
            </w:r>
          </w:p>
        </w:tc>
        <w:tc>
          <w:tcPr>
            <w:tcW w:w="3423" w:type="dxa"/>
            <w:vAlign w:val="center"/>
          </w:tcPr>
          <w:p>
            <w:pPr>
              <w:pStyle w:val="16"/>
            </w:pPr>
            <w:r>
              <w:t>为北京海关提供合格的办公产所和监管配套措施，保障协同发展</w:t>
            </w:r>
          </w:p>
        </w:tc>
        <w:tc>
          <w:tcPr>
            <w:tcW w:w="1695" w:type="dxa"/>
            <w:vAlign w:val="center"/>
          </w:tcPr>
          <w:p>
            <w:pPr>
              <w:pStyle w:val="16"/>
            </w:pPr>
            <w:r>
              <w:t>≥95%</w:t>
            </w:r>
          </w:p>
        </w:tc>
        <w:tc>
          <w:tcPr>
            <w:tcW w:w="3237" w:type="dxa"/>
            <w:vAlign w:val="center"/>
          </w:tcPr>
          <w:p>
            <w:pPr>
              <w:pStyle w:val="16"/>
            </w:pPr>
            <w:r>
              <w:t>海关总署《关于综合保税区验收有关工作的通知》（署贸函〔2019〕209号）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39、财政投资评审资金绩效目标表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rPr>
                <w:lang w:eastAsia="zh-CN"/>
              </w:rPr>
            </w:pPr>
            <w:r>
              <w:t>1.通过项目开展，加强财政投资评审管理，规范财政投资评审行为，提高财政投资评审工作效率。</w:t>
            </w:r>
          </w:p>
          <w:p>
            <w:pPr>
              <w:pStyle w:val="16"/>
            </w:pPr>
            <w:r>
              <w:t>2.通过项目的开展，2023年12月底前完成投资评审服务数量33个，工作质量达标率100%，成本控制在项目预算范围内，保障财政资金规范、安全、有效运行。</w:t>
            </w:r>
          </w:p>
        </w:tc>
      </w:tr>
    </w:tbl>
    <w:p>
      <w:pPr>
        <w:spacing w:line="2" w:lineRule="exact"/>
        <w:jc w:val="center"/>
        <w:rPr>
          <w:rFonts w:eastAsia="宋体"/>
          <w:lang w:eastAsia="zh-CN"/>
        </w:rPr>
      </w:pPr>
    </w:p>
    <w:tbl>
      <w:tblPr>
        <w:tblStyle w:val="8"/>
        <w:tblW w:w="147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2"/>
        <w:gridCol w:w="2268"/>
        <w:gridCol w:w="2835"/>
        <w:gridCol w:w="2835"/>
        <w:gridCol w:w="2551"/>
        <w:gridCol w:w="2268"/>
      </w:tblGrid>
      <w:tr>
        <w:trPr>
          <w:trHeight w:val="397" w:hRule="atLeast"/>
          <w:tblHeader/>
          <w:jc w:val="center"/>
        </w:trPr>
        <w:tc>
          <w:tcPr>
            <w:tcW w:w="2032"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2032"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投资评审服务数量</w:t>
            </w:r>
          </w:p>
        </w:tc>
        <w:tc>
          <w:tcPr>
            <w:tcW w:w="2835" w:type="dxa"/>
            <w:vAlign w:val="center"/>
          </w:tcPr>
          <w:p>
            <w:pPr>
              <w:pStyle w:val="16"/>
            </w:pPr>
            <w:r>
              <w:t>考察投资评审服务数量完成情况</w:t>
            </w:r>
          </w:p>
        </w:tc>
        <w:tc>
          <w:tcPr>
            <w:tcW w:w="2551" w:type="dxa"/>
            <w:vAlign w:val="center"/>
          </w:tcPr>
          <w:p>
            <w:pPr>
              <w:pStyle w:val="16"/>
            </w:pPr>
            <w:r>
              <w:t>≥33个</w:t>
            </w:r>
          </w:p>
        </w:tc>
        <w:tc>
          <w:tcPr>
            <w:tcW w:w="2268" w:type="dxa"/>
            <w:vAlign w:val="center"/>
          </w:tcPr>
          <w:p>
            <w:pPr>
              <w:pStyle w:val="16"/>
            </w:pPr>
            <w:r>
              <w:t>计划标准</w:t>
            </w:r>
          </w:p>
        </w:tc>
      </w:tr>
      <w:tr>
        <w:trPr>
          <w:trHeight w:val="397" w:hRule="atLeast"/>
          <w:jc w:val="center"/>
        </w:trPr>
        <w:tc>
          <w:tcPr>
            <w:tcW w:w="2032" w:type="dxa"/>
            <w:vMerge w:val="continue"/>
            <w:vAlign w:val="center"/>
          </w:tcPr>
          <w:p/>
        </w:tc>
        <w:tc>
          <w:tcPr>
            <w:tcW w:w="2268" w:type="dxa"/>
            <w:vAlign w:val="center"/>
          </w:tcPr>
          <w:p>
            <w:pPr>
              <w:pStyle w:val="16"/>
            </w:pPr>
            <w:r>
              <w:t>质量指标</w:t>
            </w:r>
          </w:p>
        </w:tc>
        <w:tc>
          <w:tcPr>
            <w:tcW w:w="2835" w:type="dxa"/>
            <w:vAlign w:val="center"/>
          </w:tcPr>
          <w:p>
            <w:pPr>
              <w:pStyle w:val="16"/>
            </w:pPr>
            <w:r>
              <w:t>投资评审服务工作质量达标率</w:t>
            </w:r>
          </w:p>
        </w:tc>
        <w:tc>
          <w:tcPr>
            <w:tcW w:w="2835" w:type="dxa"/>
            <w:vAlign w:val="center"/>
          </w:tcPr>
          <w:p>
            <w:pPr>
              <w:pStyle w:val="16"/>
            </w:pPr>
            <w:r>
              <w:t>工作考核达标数量/开展总数量*100%</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2032" w:type="dxa"/>
            <w:vMerge w:val="continue"/>
            <w:vAlign w:val="center"/>
          </w:tcPr>
          <w:p/>
        </w:tc>
        <w:tc>
          <w:tcPr>
            <w:tcW w:w="2268" w:type="dxa"/>
            <w:vAlign w:val="center"/>
          </w:tcPr>
          <w:p>
            <w:pPr>
              <w:pStyle w:val="16"/>
            </w:pPr>
            <w:r>
              <w:t>时效指标</w:t>
            </w:r>
          </w:p>
        </w:tc>
        <w:tc>
          <w:tcPr>
            <w:tcW w:w="2835" w:type="dxa"/>
            <w:vAlign w:val="center"/>
          </w:tcPr>
          <w:p>
            <w:pPr>
              <w:pStyle w:val="16"/>
            </w:pPr>
            <w:r>
              <w:t>服务工作开展及时性</w:t>
            </w:r>
          </w:p>
        </w:tc>
        <w:tc>
          <w:tcPr>
            <w:tcW w:w="2835" w:type="dxa"/>
            <w:vAlign w:val="center"/>
          </w:tcPr>
          <w:p>
            <w:pPr>
              <w:pStyle w:val="16"/>
            </w:pPr>
            <w:r>
              <w:t>2023年12月完成所有年度内计划开展项目</w:t>
            </w:r>
          </w:p>
        </w:tc>
        <w:tc>
          <w:tcPr>
            <w:tcW w:w="2551" w:type="dxa"/>
            <w:vAlign w:val="center"/>
          </w:tcPr>
          <w:p>
            <w:pPr>
              <w:pStyle w:val="16"/>
            </w:pPr>
            <w:r>
              <w:t>及时</w:t>
            </w:r>
          </w:p>
        </w:tc>
        <w:tc>
          <w:tcPr>
            <w:tcW w:w="2268" w:type="dxa"/>
            <w:vAlign w:val="center"/>
          </w:tcPr>
          <w:p>
            <w:pPr>
              <w:pStyle w:val="16"/>
            </w:pPr>
            <w:r>
              <w:t>计划标准</w:t>
            </w:r>
          </w:p>
        </w:tc>
      </w:tr>
      <w:tr>
        <w:trPr>
          <w:trHeight w:val="397" w:hRule="atLeast"/>
          <w:jc w:val="center"/>
        </w:trPr>
        <w:tc>
          <w:tcPr>
            <w:tcW w:w="2032" w:type="dxa"/>
            <w:vMerge w:val="continue"/>
            <w:vAlign w:val="center"/>
          </w:tcPr>
          <w:p/>
        </w:tc>
        <w:tc>
          <w:tcPr>
            <w:tcW w:w="2268" w:type="dxa"/>
            <w:vAlign w:val="center"/>
          </w:tcPr>
          <w:p>
            <w:pPr>
              <w:pStyle w:val="16"/>
            </w:pPr>
            <w:r>
              <w:t>成本指标</w:t>
            </w:r>
          </w:p>
        </w:tc>
        <w:tc>
          <w:tcPr>
            <w:tcW w:w="2835" w:type="dxa"/>
            <w:vAlign w:val="center"/>
          </w:tcPr>
          <w:p>
            <w:pPr>
              <w:pStyle w:val="16"/>
            </w:pPr>
            <w:r>
              <w:t>投资评审服务成本</w:t>
            </w:r>
          </w:p>
        </w:tc>
        <w:tc>
          <w:tcPr>
            <w:tcW w:w="2835" w:type="dxa"/>
            <w:vAlign w:val="center"/>
          </w:tcPr>
          <w:p>
            <w:pPr>
              <w:pStyle w:val="16"/>
            </w:pPr>
            <w:r>
              <w:t>考察投资评审服务成本控制情况</w:t>
            </w:r>
          </w:p>
        </w:tc>
        <w:tc>
          <w:tcPr>
            <w:tcW w:w="2551" w:type="dxa"/>
            <w:vAlign w:val="center"/>
          </w:tcPr>
          <w:p>
            <w:pPr>
              <w:pStyle w:val="16"/>
            </w:pPr>
            <w:r>
              <w:t>≤29.5万元/个</w:t>
            </w:r>
          </w:p>
        </w:tc>
        <w:tc>
          <w:tcPr>
            <w:tcW w:w="2268" w:type="dxa"/>
            <w:vAlign w:val="center"/>
          </w:tcPr>
          <w:p>
            <w:pPr>
              <w:pStyle w:val="16"/>
            </w:pPr>
            <w:r>
              <w:t>计划标准</w:t>
            </w:r>
          </w:p>
        </w:tc>
      </w:tr>
      <w:tr>
        <w:trPr>
          <w:trHeight w:val="397" w:hRule="atLeast"/>
          <w:jc w:val="center"/>
        </w:trPr>
        <w:tc>
          <w:tcPr>
            <w:tcW w:w="2032"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保障财政资金规范、安全、有效运行</w:t>
            </w:r>
          </w:p>
        </w:tc>
        <w:tc>
          <w:tcPr>
            <w:tcW w:w="2835" w:type="dxa"/>
            <w:vAlign w:val="center"/>
          </w:tcPr>
          <w:p>
            <w:pPr>
              <w:pStyle w:val="16"/>
            </w:pPr>
            <w:r>
              <w:t>保障财政资金规范、安全、有效运行</w:t>
            </w:r>
          </w:p>
        </w:tc>
        <w:tc>
          <w:tcPr>
            <w:tcW w:w="2551" w:type="dxa"/>
            <w:vAlign w:val="center"/>
          </w:tcPr>
          <w:p>
            <w:pPr>
              <w:pStyle w:val="16"/>
            </w:pPr>
            <w:r>
              <w:t>有效保障</w:t>
            </w:r>
          </w:p>
        </w:tc>
        <w:tc>
          <w:tcPr>
            <w:tcW w:w="2268" w:type="dxa"/>
            <w:vAlign w:val="center"/>
          </w:tcPr>
          <w:p>
            <w:pPr>
              <w:pStyle w:val="16"/>
            </w:pPr>
            <w:r>
              <w:t>计划标准</w:t>
            </w:r>
          </w:p>
        </w:tc>
      </w:tr>
      <w:tr>
        <w:trPr>
          <w:trHeight w:val="397" w:hRule="atLeast"/>
          <w:jc w:val="center"/>
        </w:trPr>
        <w:tc>
          <w:tcPr>
            <w:tcW w:w="2032"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提高财政投资评审工作效率</w:t>
            </w:r>
          </w:p>
        </w:tc>
        <w:tc>
          <w:tcPr>
            <w:tcW w:w="2835" w:type="dxa"/>
            <w:vAlign w:val="center"/>
          </w:tcPr>
          <w:p>
            <w:pPr>
              <w:pStyle w:val="16"/>
            </w:pPr>
            <w:r>
              <w:t>提高财政投资评审工作效率</w:t>
            </w:r>
          </w:p>
        </w:tc>
        <w:tc>
          <w:tcPr>
            <w:tcW w:w="2551" w:type="dxa"/>
            <w:vAlign w:val="center"/>
          </w:tcPr>
          <w:p>
            <w:pPr>
              <w:pStyle w:val="16"/>
            </w:pPr>
            <w:r>
              <w:t>提高</w:t>
            </w:r>
          </w:p>
        </w:tc>
        <w:tc>
          <w:tcPr>
            <w:tcW w:w="2268" w:type="dxa"/>
            <w:vAlign w:val="center"/>
          </w:tcPr>
          <w:p>
            <w:pPr>
              <w:pStyle w:val="16"/>
            </w:pPr>
            <w:r>
              <w:t>计划标准</w:t>
            </w:r>
          </w:p>
        </w:tc>
      </w:tr>
      <w:tr>
        <w:trPr>
          <w:trHeight w:val="397" w:hRule="atLeast"/>
          <w:jc w:val="center"/>
        </w:trPr>
        <w:tc>
          <w:tcPr>
            <w:tcW w:w="2032"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被评价企业满意度</w:t>
            </w:r>
          </w:p>
        </w:tc>
        <w:tc>
          <w:tcPr>
            <w:tcW w:w="2835" w:type="dxa"/>
            <w:vAlign w:val="center"/>
          </w:tcPr>
          <w:p>
            <w:pPr>
              <w:pStyle w:val="16"/>
            </w:pPr>
            <w:r>
              <w:t>被评价企业满意数量/调查总数量*100%</w:t>
            </w:r>
          </w:p>
        </w:tc>
        <w:tc>
          <w:tcPr>
            <w:tcW w:w="2551" w:type="dxa"/>
            <w:vAlign w:val="center"/>
          </w:tcPr>
          <w:p>
            <w:pPr>
              <w:pStyle w:val="16"/>
            </w:pPr>
            <w:r>
              <w:t>≥90%</w:t>
            </w:r>
          </w:p>
        </w:tc>
        <w:tc>
          <w:tcPr>
            <w:tcW w:w="2268" w:type="dxa"/>
            <w:vAlign w:val="center"/>
          </w:tcPr>
          <w:p>
            <w:pPr>
              <w:pStyle w:val="16"/>
            </w:pPr>
            <w:r>
              <w:t>计划标准</w:t>
            </w:r>
          </w:p>
        </w:tc>
      </w:tr>
      <w:tr>
        <w:trPr>
          <w:trHeight w:val="397" w:hRule="atLeast"/>
          <w:jc w:val="center"/>
        </w:trPr>
        <w:tc>
          <w:tcPr>
            <w:tcW w:w="2032"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部门满意度</w:t>
            </w:r>
          </w:p>
        </w:tc>
        <w:tc>
          <w:tcPr>
            <w:tcW w:w="2835" w:type="dxa"/>
            <w:vAlign w:val="center"/>
          </w:tcPr>
          <w:p>
            <w:pPr>
              <w:pStyle w:val="16"/>
            </w:pPr>
            <w:r>
              <w:t>部门满意数量/调查总数量*100%</w:t>
            </w:r>
          </w:p>
        </w:tc>
        <w:tc>
          <w:tcPr>
            <w:tcW w:w="2551" w:type="dxa"/>
            <w:vAlign w:val="center"/>
          </w:tcPr>
          <w:p>
            <w:pPr>
              <w:pStyle w:val="16"/>
            </w:pPr>
            <w:r>
              <w:t>≥90%</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40、财政综合改革资金绩效目标表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1.深入贯彻落实党中央、国务院关于全面实施预算绩效管理决策部署，精心谋划、认真组织，严把预算绩效各道关口，扎实推进预算和绩效管理一体化进程。</w:t>
            </w:r>
          </w:p>
          <w:p>
            <w:pPr>
              <w:pStyle w:val="16"/>
            </w:pPr>
            <w:r>
              <w:t>2.通过项目的开展，完成预算绩效管理培训7场，新增项目事前绩效评估40个，项目中期评估9个，项目重点绩效评价9个，制定支出定额标准20个，成本控制在预算范围内，实现财政资金降本增效，提升临空区各部门预算绩效管理意识。</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357"/>
        <w:gridCol w:w="1575"/>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357" w:type="dxa"/>
            <w:vAlign w:val="center"/>
          </w:tcPr>
          <w:p>
            <w:pPr>
              <w:pStyle w:val="14"/>
            </w:pPr>
            <w:r>
              <w:t>绩效指标描述</w:t>
            </w:r>
          </w:p>
        </w:tc>
        <w:tc>
          <w:tcPr>
            <w:tcW w:w="1575"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制定预算支出定额标准数量</w:t>
            </w:r>
          </w:p>
        </w:tc>
        <w:tc>
          <w:tcPr>
            <w:tcW w:w="3357" w:type="dxa"/>
            <w:vAlign w:val="center"/>
          </w:tcPr>
          <w:p>
            <w:pPr>
              <w:pStyle w:val="16"/>
            </w:pPr>
            <w:r>
              <w:t>考察制定预算支出定额标准数量完成情况</w:t>
            </w:r>
          </w:p>
        </w:tc>
        <w:tc>
          <w:tcPr>
            <w:tcW w:w="1575" w:type="dxa"/>
            <w:vAlign w:val="center"/>
          </w:tcPr>
          <w:p>
            <w:pPr>
              <w:pStyle w:val="16"/>
            </w:pPr>
            <w:r>
              <w:t>≥20个</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预算绩效管理专家讲座数量</w:t>
            </w:r>
          </w:p>
        </w:tc>
        <w:tc>
          <w:tcPr>
            <w:tcW w:w="3357" w:type="dxa"/>
            <w:vAlign w:val="center"/>
          </w:tcPr>
          <w:p>
            <w:pPr>
              <w:pStyle w:val="16"/>
            </w:pPr>
            <w:r>
              <w:t>考察预算绩效管理专家讲座次数完成情况</w:t>
            </w:r>
          </w:p>
        </w:tc>
        <w:tc>
          <w:tcPr>
            <w:tcW w:w="1575" w:type="dxa"/>
            <w:vAlign w:val="center"/>
          </w:tcPr>
          <w:p>
            <w:pPr>
              <w:pStyle w:val="16"/>
            </w:pPr>
            <w:r>
              <w:t>≥7场</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项目重点绩效评价数量</w:t>
            </w:r>
          </w:p>
        </w:tc>
        <w:tc>
          <w:tcPr>
            <w:tcW w:w="3357" w:type="dxa"/>
            <w:vAlign w:val="center"/>
          </w:tcPr>
          <w:p>
            <w:pPr>
              <w:pStyle w:val="16"/>
            </w:pPr>
            <w:r>
              <w:t>考察项目重点绩效评价数量完成情况</w:t>
            </w:r>
          </w:p>
        </w:tc>
        <w:tc>
          <w:tcPr>
            <w:tcW w:w="1575" w:type="dxa"/>
            <w:vAlign w:val="center"/>
          </w:tcPr>
          <w:p>
            <w:pPr>
              <w:pStyle w:val="16"/>
            </w:pPr>
            <w:r>
              <w:t>≥9个</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新增项目事前绩效评估数量</w:t>
            </w:r>
          </w:p>
        </w:tc>
        <w:tc>
          <w:tcPr>
            <w:tcW w:w="3357" w:type="dxa"/>
            <w:vAlign w:val="center"/>
          </w:tcPr>
          <w:p>
            <w:pPr>
              <w:pStyle w:val="16"/>
            </w:pPr>
            <w:r>
              <w:t>考察新增项目事前绩效评估数量完成情况</w:t>
            </w:r>
          </w:p>
        </w:tc>
        <w:tc>
          <w:tcPr>
            <w:tcW w:w="1575" w:type="dxa"/>
            <w:vAlign w:val="center"/>
          </w:tcPr>
          <w:p>
            <w:pPr>
              <w:pStyle w:val="16"/>
            </w:pPr>
            <w:r>
              <w:t>≥40个</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项目中期评估数量</w:t>
            </w:r>
          </w:p>
        </w:tc>
        <w:tc>
          <w:tcPr>
            <w:tcW w:w="3357" w:type="dxa"/>
            <w:vAlign w:val="center"/>
          </w:tcPr>
          <w:p>
            <w:pPr>
              <w:pStyle w:val="16"/>
            </w:pPr>
            <w:r>
              <w:t>考察项目中期评估数量完成情况</w:t>
            </w:r>
          </w:p>
        </w:tc>
        <w:tc>
          <w:tcPr>
            <w:tcW w:w="1575" w:type="dxa"/>
            <w:vAlign w:val="center"/>
          </w:tcPr>
          <w:p>
            <w:pPr>
              <w:pStyle w:val="16"/>
            </w:pPr>
            <w:r>
              <w:t>≥9个</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全方位全过程全覆盖预算绩效管理服务</w:t>
            </w:r>
          </w:p>
        </w:tc>
        <w:tc>
          <w:tcPr>
            <w:tcW w:w="3357" w:type="dxa"/>
            <w:vAlign w:val="center"/>
          </w:tcPr>
          <w:p>
            <w:pPr>
              <w:pStyle w:val="16"/>
            </w:pPr>
            <w:r>
              <w:t>考察全过程预算绩效管理工作数量完成情况</w:t>
            </w:r>
          </w:p>
        </w:tc>
        <w:tc>
          <w:tcPr>
            <w:tcW w:w="1575" w:type="dxa"/>
            <w:vAlign w:val="center"/>
          </w:tcPr>
          <w:p>
            <w:pPr>
              <w:pStyle w:val="16"/>
            </w:pPr>
            <w:r>
              <w:t>12次</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2024年预算项目绩效目标专家审核数量</w:t>
            </w:r>
          </w:p>
        </w:tc>
        <w:tc>
          <w:tcPr>
            <w:tcW w:w="3357" w:type="dxa"/>
            <w:vAlign w:val="center"/>
          </w:tcPr>
          <w:p>
            <w:pPr>
              <w:pStyle w:val="16"/>
            </w:pPr>
            <w:r>
              <w:t>考察2024年预算项目绩效目标专家审核数量完成情况</w:t>
            </w:r>
          </w:p>
        </w:tc>
        <w:tc>
          <w:tcPr>
            <w:tcW w:w="1575" w:type="dxa"/>
            <w:vAlign w:val="center"/>
          </w:tcPr>
          <w:p>
            <w:pPr>
              <w:pStyle w:val="16"/>
            </w:pPr>
            <w:r>
              <w:t>≥60个</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财务综合服务数量</w:t>
            </w:r>
          </w:p>
        </w:tc>
        <w:tc>
          <w:tcPr>
            <w:tcW w:w="3357" w:type="dxa"/>
            <w:vAlign w:val="center"/>
          </w:tcPr>
          <w:p>
            <w:pPr>
              <w:pStyle w:val="16"/>
            </w:pPr>
            <w:r>
              <w:t>考察财务综合服务工作数量完成情况</w:t>
            </w:r>
          </w:p>
        </w:tc>
        <w:tc>
          <w:tcPr>
            <w:tcW w:w="1575" w:type="dxa"/>
            <w:vAlign w:val="center"/>
          </w:tcPr>
          <w:p>
            <w:pPr>
              <w:pStyle w:val="16"/>
            </w:pPr>
            <w:r>
              <w:t>≥3次</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专家讲座人员到场率</w:t>
            </w:r>
          </w:p>
        </w:tc>
        <w:tc>
          <w:tcPr>
            <w:tcW w:w="3357" w:type="dxa"/>
            <w:vAlign w:val="center"/>
          </w:tcPr>
          <w:p>
            <w:pPr>
              <w:pStyle w:val="16"/>
            </w:pPr>
            <w:r>
              <w:t>实际到场人员数量/计划到场人员数量*100%</w:t>
            </w:r>
          </w:p>
        </w:tc>
        <w:tc>
          <w:tcPr>
            <w:tcW w:w="1575" w:type="dxa"/>
            <w:vAlign w:val="center"/>
          </w:tcPr>
          <w:p>
            <w:pPr>
              <w:pStyle w:val="16"/>
            </w:pPr>
            <w:r>
              <w:t>≥90%</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财政绩效管理工作质量达标率</w:t>
            </w:r>
          </w:p>
        </w:tc>
        <w:tc>
          <w:tcPr>
            <w:tcW w:w="3357" w:type="dxa"/>
            <w:vAlign w:val="center"/>
          </w:tcPr>
          <w:p>
            <w:pPr>
              <w:pStyle w:val="16"/>
            </w:pPr>
            <w:r>
              <w:t>绩效管理工作质量达标数量/实际开展总数量*100%</w:t>
            </w:r>
          </w:p>
        </w:tc>
        <w:tc>
          <w:tcPr>
            <w:tcW w:w="1575" w:type="dxa"/>
            <w:vAlign w:val="center"/>
          </w:tcPr>
          <w:p>
            <w:pPr>
              <w:pStyle w:val="16"/>
            </w:pPr>
            <w:r>
              <w:t>≥90%</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绩效管理工作开展及时性</w:t>
            </w:r>
          </w:p>
        </w:tc>
        <w:tc>
          <w:tcPr>
            <w:tcW w:w="3357" w:type="dxa"/>
            <w:vAlign w:val="center"/>
          </w:tcPr>
          <w:p>
            <w:pPr>
              <w:pStyle w:val="16"/>
            </w:pPr>
            <w:r>
              <w:t>2023年12月31日前完成所有年度内计划开展项目</w:t>
            </w:r>
          </w:p>
        </w:tc>
        <w:tc>
          <w:tcPr>
            <w:tcW w:w="1575" w:type="dxa"/>
            <w:vAlign w:val="center"/>
          </w:tcPr>
          <w:p>
            <w:pPr>
              <w:pStyle w:val="16"/>
            </w:pPr>
            <w:r>
              <w:t>及时</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预算支出定额标准成本</w:t>
            </w:r>
          </w:p>
        </w:tc>
        <w:tc>
          <w:tcPr>
            <w:tcW w:w="3357" w:type="dxa"/>
            <w:vAlign w:val="center"/>
          </w:tcPr>
          <w:p>
            <w:pPr>
              <w:pStyle w:val="16"/>
            </w:pPr>
            <w:r>
              <w:t>考察预算支出定额标准成本控制情况</w:t>
            </w:r>
          </w:p>
        </w:tc>
        <w:tc>
          <w:tcPr>
            <w:tcW w:w="1575" w:type="dxa"/>
            <w:vAlign w:val="center"/>
          </w:tcPr>
          <w:p>
            <w:pPr>
              <w:pStyle w:val="16"/>
            </w:pPr>
            <w:r>
              <w:t>≤6万元/个</w:t>
            </w:r>
          </w:p>
        </w:tc>
        <w:tc>
          <w:tcPr>
            <w:tcW w:w="2466" w:type="dxa"/>
            <w:vAlign w:val="center"/>
          </w:tcPr>
          <w:p>
            <w:pPr>
              <w:pStyle w:val="16"/>
            </w:pPr>
            <w:r>
              <w:t>行业标准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财务综合服务成本</w:t>
            </w:r>
          </w:p>
        </w:tc>
        <w:tc>
          <w:tcPr>
            <w:tcW w:w="3357" w:type="dxa"/>
            <w:vAlign w:val="center"/>
          </w:tcPr>
          <w:p>
            <w:pPr>
              <w:pStyle w:val="16"/>
            </w:pPr>
            <w:r>
              <w:t>考察财务综合服务成本控制情况</w:t>
            </w:r>
          </w:p>
        </w:tc>
        <w:tc>
          <w:tcPr>
            <w:tcW w:w="1575" w:type="dxa"/>
            <w:vAlign w:val="center"/>
          </w:tcPr>
          <w:p>
            <w:pPr>
              <w:pStyle w:val="16"/>
            </w:pPr>
            <w:r>
              <w:t>≤28万元</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新增项目事前绩效评估成本</w:t>
            </w:r>
          </w:p>
        </w:tc>
        <w:tc>
          <w:tcPr>
            <w:tcW w:w="3357" w:type="dxa"/>
            <w:vAlign w:val="center"/>
          </w:tcPr>
          <w:p>
            <w:pPr>
              <w:pStyle w:val="16"/>
            </w:pPr>
            <w:r>
              <w:t>考察新增项目事前绩效评估成本控制情况</w:t>
            </w:r>
          </w:p>
        </w:tc>
        <w:tc>
          <w:tcPr>
            <w:tcW w:w="1575" w:type="dxa"/>
            <w:vAlign w:val="center"/>
          </w:tcPr>
          <w:p>
            <w:pPr>
              <w:pStyle w:val="16"/>
            </w:pPr>
            <w:r>
              <w:t>≤100万元</w:t>
            </w:r>
          </w:p>
        </w:tc>
        <w:tc>
          <w:tcPr>
            <w:tcW w:w="2466" w:type="dxa"/>
            <w:vAlign w:val="center"/>
          </w:tcPr>
          <w:p>
            <w:pPr>
              <w:pStyle w:val="16"/>
            </w:pPr>
            <w:r>
              <w:t>财政标准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项目重点绩效评价成本</w:t>
            </w:r>
          </w:p>
        </w:tc>
        <w:tc>
          <w:tcPr>
            <w:tcW w:w="3357" w:type="dxa"/>
            <w:vAlign w:val="center"/>
          </w:tcPr>
          <w:p>
            <w:pPr>
              <w:pStyle w:val="16"/>
            </w:pPr>
            <w:r>
              <w:t>考察财政投资评审工作成本控制情况</w:t>
            </w:r>
          </w:p>
        </w:tc>
        <w:tc>
          <w:tcPr>
            <w:tcW w:w="1575" w:type="dxa"/>
            <w:vAlign w:val="center"/>
          </w:tcPr>
          <w:p>
            <w:pPr>
              <w:pStyle w:val="16"/>
            </w:pPr>
            <w:r>
              <w:t>≤22.5万元</w:t>
            </w:r>
          </w:p>
        </w:tc>
        <w:tc>
          <w:tcPr>
            <w:tcW w:w="2466" w:type="dxa"/>
            <w:vAlign w:val="center"/>
          </w:tcPr>
          <w:p>
            <w:pPr>
              <w:pStyle w:val="16"/>
            </w:pPr>
            <w:r>
              <w:t>财政标准</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降本增效</w:t>
            </w:r>
          </w:p>
        </w:tc>
        <w:tc>
          <w:tcPr>
            <w:tcW w:w="3357" w:type="dxa"/>
            <w:vAlign w:val="center"/>
          </w:tcPr>
          <w:p>
            <w:pPr>
              <w:pStyle w:val="16"/>
            </w:pPr>
            <w:r>
              <w:t>提高财政资金使用效益</w:t>
            </w:r>
          </w:p>
        </w:tc>
        <w:tc>
          <w:tcPr>
            <w:tcW w:w="1575" w:type="dxa"/>
            <w:vAlign w:val="center"/>
          </w:tcPr>
          <w:p>
            <w:pPr>
              <w:pStyle w:val="16"/>
            </w:pPr>
            <w:r>
              <w:t>显著</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提升临空区部门预算绩效管理意识</w:t>
            </w:r>
          </w:p>
        </w:tc>
        <w:tc>
          <w:tcPr>
            <w:tcW w:w="3357" w:type="dxa"/>
            <w:vAlign w:val="center"/>
          </w:tcPr>
          <w:p>
            <w:pPr>
              <w:pStyle w:val="16"/>
            </w:pPr>
            <w:r>
              <w:t>考察部门预算绩效管理意识提升情况</w:t>
            </w:r>
          </w:p>
        </w:tc>
        <w:tc>
          <w:tcPr>
            <w:tcW w:w="1575" w:type="dxa"/>
            <w:vAlign w:val="center"/>
          </w:tcPr>
          <w:p>
            <w:pPr>
              <w:pStyle w:val="16"/>
            </w:pPr>
            <w:r>
              <w:t>提升</w:t>
            </w:r>
          </w:p>
        </w:tc>
        <w:tc>
          <w:tcPr>
            <w:tcW w:w="2466" w:type="dxa"/>
            <w:vAlign w:val="center"/>
          </w:tcPr>
          <w:p>
            <w:pPr>
              <w:pStyle w:val="16"/>
            </w:pPr>
            <w:r>
              <w:t>计划标准</w:t>
            </w:r>
          </w:p>
        </w:tc>
      </w:tr>
      <w:tr>
        <w:trPr>
          <w:trHeight w:val="397" w:hRule="atLeast"/>
          <w:jc w:val="center"/>
        </w:trPr>
        <w:tc>
          <w:tcPr>
            <w:tcW w:w="2466" w:type="dxa"/>
            <w:vMerge w:val="restart"/>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上级部门满意度</w:t>
            </w:r>
          </w:p>
        </w:tc>
        <w:tc>
          <w:tcPr>
            <w:tcW w:w="3357" w:type="dxa"/>
            <w:vAlign w:val="center"/>
          </w:tcPr>
          <w:p>
            <w:pPr>
              <w:pStyle w:val="16"/>
            </w:pPr>
            <w:r>
              <w:t>部门满意数量/调查总数量*100%</w:t>
            </w:r>
          </w:p>
        </w:tc>
        <w:tc>
          <w:tcPr>
            <w:tcW w:w="1575" w:type="dxa"/>
            <w:vAlign w:val="center"/>
          </w:tcPr>
          <w:p>
            <w:pPr>
              <w:pStyle w:val="16"/>
            </w:pPr>
            <w:r>
              <w:t>≥90%</w:t>
            </w:r>
          </w:p>
        </w:tc>
        <w:tc>
          <w:tcPr>
            <w:tcW w:w="2466" w:type="dxa"/>
            <w:vAlign w:val="center"/>
          </w:tcPr>
          <w:p>
            <w:pPr>
              <w:pStyle w:val="16"/>
            </w:pPr>
            <w:r>
              <w:t>调查问卷</w:t>
            </w:r>
          </w:p>
        </w:tc>
      </w:tr>
      <w:tr>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部门满意度</w:t>
            </w:r>
          </w:p>
        </w:tc>
        <w:tc>
          <w:tcPr>
            <w:tcW w:w="3357" w:type="dxa"/>
            <w:vAlign w:val="center"/>
          </w:tcPr>
          <w:p>
            <w:pPr>
              <w:pStyle w:val="16"/>
            </w:pPr>
            <w:r>
              <w:t>部门满意数量/调查总数量*100%</w:t>
            </w:r>
          </w:p>
        </w:tc>
        <w:tc>
          <w:tcPr>
            <w:tcW w:w="1575"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41、产业综合服务体系编制服务绩效目标表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完成临空经济区产业综合服务体系编制，形成临空经济区产业综合服务体系建设导则、临空经济区产业综合服务网格化管理体系办法、临空经济区产业综合服务品牌打造方案，进一步优化临空经济区产业服务和营商环境优化，推进临空经济区产业高质量可持续发展。</w:t>
            </w:r>
          </w:p>
          <w:p>
            <w:pPr>
              <w:pStyle w:val="16"/>
            </w:pPr>
            <w:r>
              <w:t>2.完成临空经济区产业综合服务体系编制，形成临空经济区产业综合服务体系建设导则、临空经济区产业综合服务网格化管理体系办法、临空经济区产业综合服务品牌打造方案。</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体系报告</w:t>
            </w:r>
          </w:p>
        </w:tc>
        <w:tc>
          <w:tcPr>
            <w:tcW w:w="2835" w:type="dxa"/>
            <w:vAlign w:val="center"/>
          </w:tcPr>
          <w:p>
            <w:pPr>
              <w:pStyle w:val="16"/>
            </w:pPr>
            <w:r>
              <w:t>形成产业综合服务体系</w:t>
            </w:r>
          </w:p>
        </w:tc>
        <w:tc>
          <w:tcPr>
            <w:tcW w:w="2551" w:type="dxa"/>
            <w:vAlign w:val="center"/>
          </w:tcPr>
          <w:p>
            <w:pPr>
              <w:pStyle w:val="16"/>
            </w:pPr>
            <w:r>
              <w:t>3件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体系编制完成及时率</w:t>
            </w:r>
          </w:p>
        </w:tc>
        <w:tc>
          <w:tcPr>
            <w:tcW w:w="2835" w:type="dxa"/>
            <w:vAlign w:val="center"/>
          </w:tcPr>
          <w:p>
            <w:pPr>
              <w:pStyle w:val="16"/>
            </w:pPr>
            <w:r>
              <w:t>按合同计划时间完成规划编制的占比</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体系成果合格率</w:t>
            </w:r>
          </w:p>
        </w:tc>
        <w:tc>
          <w:tcPr>
            <w:tcW w:w="2835" w:type="dxa"/>
            <w:vAlign w:val="center"/>
          </w:tcPr>
          <w:p>
            <w:pPr>
              <w:pStyle w:val="16"/>
            </w:pPr>
            <w:r>
              <w:t>临空经济区产业综合服务体系合格率</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≤75.2万元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形成廊坊临空经济区产业综合服务体系</w:t>
            </w:r>
          </w:p>
        </w:tc>
        <w:tc>
          <w:tcPr>
            <w:tcW w:w="2835" w:type="dxa"/>
            <w:vAlign w:val="center"/>
          </w:tcPr>
          <w:p>
            <w:pPr>
              <w:pStyle w:val="16"/>
            </w:pPr>
            <w:r>
              <w:t>保证廊坊临空经济区产业发展可持续高质量</w:t>
            </w:r>
          </w:p>
        </w:tc>
        <w:tc>
          <w:tcPr>
            <w:tcW w:w="2551" w:type="dxa"/>
            <w:vAlign w:val="center"/>
          </w:tcPr>
          <w:p>
            <w:pPr>
              <w:pStyle w:val="16"/>
            </w:pPr>
            <w:r>
              <w:t>为企业提供协调管理、投资运营、创新创业等服务保障。</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有效年限</w:t>
            </w:r>
          </w:p>
        </w:tc>
        <w:tc>
          <w:tcPr>
            <w:tcW w:w="2835" w:type="dxa"/>
            <w:vAlign w:val="center"/>
          </w:tcPr>
          <w:p>
            <w:pPr>
              <w:pStyle w:val="16"/>
            </w:pPr>
            <w:r>
              <w:t>体系方案具有效果的年限</w:t>
            </w:r>
          </w:p>
        </w:tc>
        <w:tc>
          <w:tcPr>
            <w:tcW w:w="2551" w:type="dxa"/>
            <w:vAlign w:val="center"/>
          </w:tcPr>
          <w:p>
            <w:pPr>
              <w:pStyle w:val="16"/>
            </w:pPr>
            <w:r>
              <w:t>≥3年</w:t>
            </w:r>
          </w:p>
        </w:tc>
        <w:tc>
          <w:tcPr>
            <w:tcW w:w="2268" w:type="dxa"/>
            <w:vAlign w:val="center"/>
          </w:tcPr>
          <w:p>
            <w:pPr>
              <w:pStyle w:val="16"/>
            </w:pPr>
            <w:r>
              <w:t>《合同》</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42、城市环境综合整治绩效目标表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1.充分履行综合执法局在城市环境综合整治提升活动领域的工作职能，为廊坊临空经济区的快速稳健发展保驾护航。</w:t>
            </w:r>
          </w:p>
          <w:p>
            <w:pPr>
              <w:pStyle w:val="16"/>
            </w:pPr>
            <w:r>
              <w:t>2.通过项目开展，完成全年三边治理及城市环境整治，项目任务用途2项，三边治理及城市环境整治天数达标率达到100%，成本控制在预算范围内，提升社会服务能力，优化城市形象。</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48"/>
        <w:gridCol w:w="1884"/>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048" w:type="dxa"/>
            <w:vAlign w:val="center"/>
          </w:tcPr>
          <w:p>
            <w:pPr>
              <w:pStyle w:val="14"/>
            </w:pPr>
            <w:r>
              <w:t>绩效指标描述</w:t>
            </w:r>
          </w:p>
        </w:tc>
        <w:tc>
          <w:tcPr>
            <w:tcW w:w="1884"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三边治理及城市环境整治天数</w:t>
            </w:r>
          </w:p>
        </w:tc>
        <w:tc>
          <w:tcPr>
            <w:tcW w:w="3048" w:type="dxa"/>
            <w:vAlign w:val="center"/>
          </w:tcPr>
          <w:p>
            <w:pPr>
              <w:pStyle w:val="16"/>
            </w:pPr>
            <w:r>
              <w:t>考察三边治理及城市环境整治天数情况</w:t>
            </w:r>
          </w:p>
        </w:tc>
        <w:tc>
          <w:tcPr>
            <w:tcW w:w="1884" w:type="dxa"/>
            <w:vAlign w:val="center"/>
          </w:tcPr>
          <w:p>
            <w:pPr>
              <w:pStyle w:val="16"/>
            </w:pPr>
            <w:r>
              <w:t>365天</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项目任务用途数量</w:t>
            </w:r>
          </w:p>
        </w:tc>
        <w:tc>
          <w:tcPr>
            <w:tcW w:w="3048" w:type="dxa"/>
            <w:vAlign w:val="center"/>
          </w:tcPr>
          <w:p>
            <w:pPr>
              <w:pStyle w:val="16"/>
            </w:pPr>
            <w:r>
              <w:t>考察项目任务用途数量情况</w:t>
            </w:r>
          </w:p>
        </w:tc>
        <w:tc>
          <w:tcPr>
            <w:tcW w:w="1884" w:type="dxa"/>
            <w:vAlign w:val="center"/>
          </w:tcPr>
          <w:p>
            <w:pPr>
              <w:pStyle w:val="16"/>
            </w:pPr>
            <w:r>
              <w:t>2项</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三边治理及城市环境整治天数达标率</w:t>
            </w:r>
          </w:p>
        </w:tc>
        <w:tc>
          <w:tcPr>
            <w:tcW w:w="3048" w:type="dxa"/>
            <w:vAlign w:val="center"/>
          </w:tcPr>
          <w:p>
            <w:pPr>
              <w:pStyle w:val="16"/>
            </w:pPr>
            <w:r>
              <w:t>三边治理及城市环境整治实际完成天数/365*100%</w:t>
            </w:r>
          </w:p>
        </w:tc>
        <w:tc>
          <w:tcPr>
            <w:tcW w:w="1884"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项目完成及时性</w:t>
            </w:r>
          </w:p>
        </w:tc>
        <w:tc>
          <w:tcPr>
            <w:tcW w:w="3048" w:type="dxa"/>
            <w:vAlign w:val="center"/>
          </w:tcPr>
          <w:p>
            <w:pPr>
              <w:pStyle w:val="16"/>
            </w:pPr>
            <w:r>
              <w:t>考察项目是否于12月底前完成</w:t>
            </w:r>
          </w:p>
        </w:tc>
        <w:tc>
          <w:tcPr>
            <w:tcW w:w="1884" w:type="dxa"/>
            <w:vAlign w:val="center"/>
          </w:tcPr>
          <w:p>
            <w:pPr>
              <w:pStyle w:val="16"/>
            </w:pPr>
            <w:r>
              <w:t>及时</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三边治理成本</w:t>
            </w:r>
          </w:p>
        </w:tc>
        <w:tc>
          <w:tcPr>
            <w:tcW w:w="3048" w:type="dxa"/>
            <w:vAlign w:val="center"/>
          </w:tcPr>
          <w:p>
            <w:pPr>
              <w:pStyle w:val="16"/>
            </w:pPr>
            <w:r>
              <w:t>考察三边治理成本控制情况</w:t>
            </w:r>
          </w:p>
        </w:tc>
        <w:tc>
          <w:tcPr>
            <w:tcW w:w="1884" w:type="dxa"/>
            <w:vAlign w:val="center"/>
          </w:tcPr>
          <w:p>
            <w:pPr>
              <w:pStyle w:val="16"/>
            </w:pPr>
            <w:r>
              <w:t>≤30万元</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城市环境整治成本</w:t>
            </w:r>
          </w:p>
        </w:tc>
        <w:tc>
          <w:tcPr>
            <w:tcW w:w="3048" w:type="dxa"/>
            <w:vAlign w:val="center"/>
          </w:tcPr>
          <w:p>
            <w:pPr>
              <w:pStyle w:val="16"/>
            </w:pPr>
            <w:r>
              <w:t>考察城市环境整治成本控制情况</w:t>
            </w:r>
          </w:p>
        </w:tc>
        <w:tc>
          <w:tcPr>
            <w:tcW w:w="1884" w:type="dxa"/>
            <w:vAlign w:val="center"/>
          </w:tcPr>
          <w:p>
            <w:pPr>
              <w:pStyle w:val="16"/>
            </w:pPr>
            <w:r>
              <w:t>≤100万元</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项目总成本</w:t>
            </w:r>
          </w:p>
        </w:tc>
        <w:tc>
          <w:tcPr>
            <w:tcW w:w="3048" w:type="dxa"/>
            <w:vAlign w:val="center"/>
          </w:tcPr>
          <w:p>
            <w:pPr>
              <w:pStyle w:val="16"/>
            </w:pPr>
            <w:r>
              <w:t>考察项目总成控制情况本</w:t>
            </w:r>
          </w:p>
        </w:tc>
        <w:tc>
          <w:tcPr>
            <w:tcW w:w="1884" w:type="dxa"/>
            <w:vAlign w:val="center"/>
          </w:tcPr>
          <w:p>
            <w:pPr>
              <w:pStyle w:val="16"/>
            </w:pPr>
            <w:r>
              <w:t>≤130万元</w:t>
            </w:r>
          </w:p>
        </w:tc>
        <w:tc>
          <w:tcPr>
            <w:tcW w:w="2466" w:type="dxa"/>
            <w:vAlign w:val="center"/>
          </w:tcPr>
          <w:p>
            <w:pPr>
              <w:pStyle w:val="16"/>
            </w:pPr>
            <w:r>
              <w:t>工作计划</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提升社会服务能力</w:t>
            </w:r>
          </w:p>
        </w:tc>
        <w:tc>
          <w:tcPr>
            <w:tcW w:w="3048" w:type="dxa"/>
            <w:vAlign w:val="center"/>
          </w:tcPr>
          <w:p>
            <w:pPr>
              <w:pStyle w:val="16"/>
            </w:pPr>
            <w:r>
              <w:t>提升临空经济区市容管理水平和居民的出行环境</w:t>
            </w:r>
          </w:p>
        </w:tc>
        <w:tc>
          <w:tcPr>
            <w:tcW w:w="1884" w:type="dxa"/>
            <w:vAlign w:val="center"/>
          </w:tcPr>
          <w:p>
            <w:pPr>
              <w:pStyle w:val="16"/>
            </w:pPr>
            <w:r>
              <w:t>提升</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优化城市形象</w:t>
            </w:r>
          </w:p>
        </w:tc>
        <w:tc>
          <w:tcPr>
            <w:tcW w:w="3048" w:type="dxa"/>
            <w:vAlign w:val="center"/>
          </w:tcPr>
          <w:p>
            <w:pPr>
              <w:pStyle w:val="16"/>
            </w:pPr>
            <w:r>
              <w:t>营造临空经济区整洁优美的城市环境和浓厚的文化氛围</w:t>
            </w:r>
          </w:p>
        </w:tc>
        <w:tc>
          <w:tcPr>
            <w:tcW w:w="1884" w:type="dxa"/>
            <w:vAlign w:val="center"/>
          </w:tcPr>
          <w:p>
            <w:pPr>
              <w:pStyle w:val="16"/>
            </w:pPr>
            <w:r>
              <w:t>优化</w:t>
            </w:r>
          </w:p>
        </w:tc>
        <w:tc>
          <w:tcPr>
            <w:tcW w:w="2466" w:type="dxa"/>
            <w:vAlign w:val="center"/>
          </w:tcPr>
          <w:p>
            <w:pPr>
              <w:pStyle w:val="16"/>
            </w:pPr>
            <w:r>
              <w:t>工作计划</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3048" w:type="dxa"/>
            <w:vAlign w:val="center"/>
          </w:tcPr>
          <w:p>
            <w:pPr>
              <w:pStyle w:val="16"/>
            </w:pPr>
            <w:r>
              <w:t>对三边治理及城市环境整治满意人数/调查总人数*100%</w:t>
            </w:r>
          </w:p>
        </w:tc>
        <w:tc>
          <w:tcPr>
            <w:tcW w:w="1884"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43、城市体检项目绩效目标表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1.优化城市发展目标、补齐城市建设短板、预防和解决“城市病”问题，助力廊坊市临空经济区高质量发展、建设美好城市。</w:t>
            </w:r>
          </w:p>
          <w:p>
            <w:pPr>
              <w:pStyle w:val="16"/>
            </w:pPr>
            <w:r>
              <w:t>2.通过项目的有序开展，于2023年底完成《廊坊市临空经济区城市体检》编制工作。我单位将严格控制规划成本，参照规定时间节点高质量提交成果。同时组织专家评审会严把质量关，成果质量评审率达到100%。通过项目的开展，一方面通过指标评估，开展成效、问题、原因分析，为新区规划建设工作提出对策建议，指导临空经济区高质量建设；另一方面通过对新区各项建设发展数据的系统梳理分析，形成一份统一口径全面翔实的数据底板，提升临空区有关部门的工作效率，为临空区智慧城市建设提供基础，为生态良好保驾护航。</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48"/>
        <w:gridCol w:w="1884"/>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048" w:type="dxa"/>
            <w:vAlign w:val="center"/>
          </w:tcPr>
          <w:p>
            <w:pPr>
              <w:pStyle w:val="14"/>
            </w:pPr>
            <w:r>
              <w:t>绩效指标描述</w:t>
            </w:r>
          </w:p>
        </w:tc>
        <w:tc>
          <w:tcPr>
            <w:tcW w:w="1884"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成果数量</w:t>
            </w:r>
          </w:p>
        </w:tc>
        <w:tc>
          <w:tcPr>
            <w:tcW w:w="3048" w:type="dxa"/>
            <w:vAlign w:val="center"/>
          </w:tcPr>
          <w:p>
            <w:pPr>
              <w:pStyle w:val="16"/>
            </w:pPr>
            <w:r>
              <w:t>提交8套成果</w:t>
            </w:r>
          </w:p>
        </w:tc>
        <w:tc>
          <w:tcPr>
            <w:tcW w:w="1884" w:type="dxa"/>
            <w:vAlign w:val="center"/>
          </w:tcPr>
          <w:p>
            <w:pPr>
              <w:pStyle w:val="16"/>
            </w:pPr>
            <w:r>
              <w:t>≥8个</w:t>
            </w:r>
          </w:p>
        </w:tc>
        <w:tc>
          <w:tcPr>
            <w:tcW w:w="2466" w:type="dxa"/>
            <w:vAlign w:val="center"/>
          </w:tcPr>
          <w:p>
            <w:pPr>
              <w:pStyle w:val="16"/>
            </w:pPr>
            <w:r>
              <w:t>依据合同约定</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编制成果评审合格率</w:t>
            </w:r>
          </w:p>
        </w:tc>
        <w:tc>
          <w:tcPr>
            <w:tcW w:w="3048" w:type="dxa"/>
            <w:vAlign w:val="center"/>
          </w:tcPr>
          <w:p>
            <w:pPr>
              <w:pStyle w:val="16"/>
            </w:pPr>
            <w:r>
              <w:t>编制成果合格率=评审合格规划数量/总规划数量</w:t>
            </w:r>
          </w:p>
        </w:tc>
        <w:tc>
          <w:tcPr>
            <w:tcW w:w="1884" w:type="dxa"/>
            <w:vAlign w:val="center"/>
          </w:tcPr>
          <w:p>
            <w:pPr>
              <w:pStyle w:val="16"/>
            </w:pPr>
            <w:r>
              <w:t>≥90%</w:t>
            </w:r>
          </w:p>
        </w:tc>
        <w:tc>
          <w:tcPr>
            <w:tcW w:w="2466" w:type="dxa"/>
            <w:vAlign w:val="center"/>
          </w:tcPr>
          <w:p>
            <w:pPr>
              <w:pStyle w:val="16"/>
            </w:pPr>
            <w:r>
              <w:t>专家评审论证意见</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计划完成规划编制时间</w:t>
            </w:r>
          </w:p>
        </w:tc>
        <w:tc>
          <w:tcPr>
            <w:tcW w:w="3048" w:type="dxa"/>
            <w:vAlign w:val="center"/>
          </w:tcPr>
          <w:p>
            <w:pPr>
              <w:pStyle w:val="16"/>
            </w:pPr>
            <w:r>
              <w:t>按时提交规划成果</w:t>
            </w:r>
          </w:p>
        </w:tc>
        <w:tc>
          <w:tcPr>
            <w:tcW w:w="1884" w:type="dxa"/>
            <w:vAlign w:val="center"/>
          </w:tcPr>
          <w:p>
            <w:pPr>
              <w:pStyle w:val="16"/>
            </w:pPr>
            <w:r>
              <w:t>2023年底</w:t>
            </w:r>
          </w:p>
        </w:tc>
        <w:tc>
          <w:tcPr>
            <w:tcW w:w="2466" w:type="dxa"/>
            <w:vAlign w:val="center"/>
          </w:tcPr>
          <w:p>
            <w:pPr>
              <w:pStyle w:val="16"/>
            </w:pPr>
            <w:r>
              <w:t>依照合同约定时间</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成本控制总价</w:t>
            </w:r>
          </w:p>
        </w:tc>
        <w:tc>
          <w:tcPr>
            <w:tcW w:w="3048" w:type="dxa"/>
            <w:vAlign w:val="center"/>
          </w:tcPr>
          <w:p>
            <w:pPr>
              <w:pStyle w:val="16"/>
            </w:pPr>
            <w:r>
              <w:t>成本控制总价为47万元，超出约定不得分</w:t>
            </w:r>
          </w:p>
        </w:tc>
        <w:tc>
          <w:tcPr>
            <w:tcW w:w="1884" w:type="dxa"/>
            <w:vAlign w:val="center"/>
          </w:tcPr>
          <w:p>
            <w:pPr>
              <w:pStyle w:val="16"/>
            </w:pPr>
            <w:r>
              <w:t>≤47万元</w:t>
            </w:r>
          </w:p>
        </w:tc>
        <w:tc>
          <w:tcPr>
            <w:tcW w:w="2466" w:type="dxa"/>
            <w:vAlign w:val="center"/>
          </w:tcPr>
          <w:p>
            <w:pPr>
              <w:pStyle w:val="16"/>
            </w:pPr>
            <w:r>
              <w:t>依照合同约定时间</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指导临空经济区高质量建设</w:t>
            </w:r>
          </w:p>
        </w:tc>
        <w:tc>
          <w:tcPr>
            <w:tcW w:w="3048" w:type="dxa"/>
            <w:vAlign w:val="center"/>
          </w:tcPr>
          <w:p>
            <w:pPr>
              <w:pStyle w:val="16"/>
            </w:pPr>
            <w:r>
              <w:t>分析临空区现状保护与建设情况，提出有利于经济发展的措施和建议</w:t>
            </w:r>
          </w:p>
        </w:tc>
        <w:tc>
          <w:tcPr>
            <w:tcW w:w="1884" w:type="dxa"/>
            <w:vAlign w:val="center"/>
          </w:tcPr>
          <w:p>
            <w:pPr>
              <w:pStyle w:val="16"/>
            </w:pPr>
            <w:r>
              <w:t>有效</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提升工作效率</w:t>
            </w:r>
          </w:p>
        </w:tc>
        <w:tc>
          <w:tcPr>
            <w:tcW w:w="3048" w:type="dxa"/>
            <w:vAlign w:val="center"/>
          </w:tcPr>
          <w:p>
            <w:pPr>
              <w:pStyle w:val="16"/>
            </w:pPr>
            <w:r>
              <w:t>通过项目的开展找出建设过程中遇到的问题，明确下一步工作计划和重点</w:t>
            </w:r>
          </w:p>
        </w:tc>
        <w:tc>
          <w:tcPr>
            <w:tcW w:w="1884" w:type="dxa"/>
            <w:vAlign w:val="center"/>
          </w:tcPr>
          <w:p>
            <w:pPr>
              <w:pStyle w:val="16"/>
            </w:pPr>
            <w:r>
              <w:t>提高</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为生态良好保驾护航</w:t>
            </w:r>
          </w:p>
        </w:tc>
        <w:tc>
          <w:tcPr>
            <w:tcW w:w="3048" w:type="dxa"/>
            <w:vAlign w:val="center"/>
          </w:tcPr>
          <w:p>
            <w:pPr>
              <w:pStyle w:val="16"/>
            </w:pPr>
            <w:r>
              <w:t>分析临空区现状生态保护与建设情况，提出生态空间兼具保护与利用的措施和建议</w:t>
            </w:r>
          </w:p>
        </w:tc>
        <w:tc>
          <w:tcPr>
            <w:tcW w:w="1884" w:type="dxa"/>
            <w:vAlign w:val="center"/>
          </w:tcPr>
          <w:p>
            <w:pPr>
              <w:pStyle w:val="16"/>
            </w:pPr>
            <w:r>
              <w:t>优化</w:t>
            </w:r>
          </w:p>
        </w:tc>
        <w:tc>
          <w:tcPr>
            <w:tcW w:w="2466" w:type="dxa"/>
            <w:vAlign w:val="center"/>
          </w:tcPr>
          <w:p>
            <w:pPr>
              <w:pStyle w:val="16"/>
            </w:pPr>
            <w:r>
              <w:t>效果显著</w:t>
            </w:r>
          </w:p>
        </w:tc>
      </w:tr>
      <w:tr>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统一数据统计口径，为后期建设提供数据支撑</w:t>
            </w:r>
          </w:p>
        </w:tc>
        <w:tc>
          <w:tcPr>
            <w:tcW w:w="3048" w:type="dxa"/>
            <w:vAlign w:val="center"/>
          </w:tcPr>
          <w:p>
            <w:pPr>
              <w:pStyle w:val="16"/>
            </w:pPr>
            <w:r>
              <w:t>通过对新区各项建设发展数据的系统梳理分析，为临空区后期工作成效和问题分析提供数据模板</w:t>
            </w:r>
          </w:p>
        </w:tc>
        <w:tc>
          <w:tcPr>
            <w:tcW w:w="1884" w:type="dxa"/>
            <w:vAlign w:val="center"/>
          </w:tcPr>
          <w:p>
            <w:pPr>
              <w:pStyle w:val="16"/>
            </w:pPr>
            <w:r>
              <w:t>支撑</w:t>
            </w:r>
          </w:p>
        </w:tc>
        <w:tc>
          <w:tcPr>
            <w:tcW w:w="2466" w:type="dxa"/>
            <w:vAlign w:val="center"/>
          </w:tcPr>
          <w:p>
            <w:pPr>
              <w:pStyle w:val="16"/>
            </w:pPr>
            <w:r>
              <w:t>效果显著</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项目满意度</w:t>
            </w:r>
          </w:p>
        </w:tc>
        <w:tc>
          <w:tcPr>
            <w:tcW w:w="3048" w:type="dxa"/>
            <w:vAlign w:val="center"/>
          </w:tcPr>
          <w:p>
            <w:pPr>
              <w:pStyle w:val="16"/>
            </w:pPr>
            <w:r>
              <w:t>调查问卷满意人数/调查问卷总人数*100%</w:t>
            </w:r>
          </w:p>
        </w:tc>
        <w:tc>
          <w:tcPr>
            <w:tcW w:w="1884" w:type="dxa"/>
            <w:vAlign w:val="center"/>
          </w:tcPr>
          <w:p>
            <w:pPr>
              <w:pStyle w:val="16"/>
            </w:pPr>
            <w:r>
              <w:t>≥90%</w:t>
            </w:r>
          </w:p>
        </w:tc>
        <w:tc>
          <w:tcPr>
            <w:tcW w:w="2466"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44、城市综合管理资金绩效目标表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1.通过项目的开展，完善生态文明领域统筹协调机制，构建生态文明体系，推动经济社会发展全面绿色转型，建设美丽中国。并对临空经济区进行网格精细化管理，保障城市面貌及城市管理品质。</w:t>
            </w:r>
          </w:p>
          <w:p>
            <w:pPr>
              <w:pStyle w:val="16"/>
            </w:pPr>
            <w:r>
              <w:t>2.完成绿化养护，使养护区域园林植物成活率达到90%以上，修剪合格率达到100%，成本控制在预算范围内。提升区域景观价值，提升环境质量。通过开展垃圾分类工作，创建垃圾分类公共机构试点，保证廊坊临空经济区域内环境卫生质量达标，市政道路清扫保洁、垃圾清运、公厕管理等工作达到省市考核标准。网格巡查服务保障365天，网格巡查面积执行率、网格巡查频次达标率达到100%，成本控制在预算范围内，提高区域社会稳定性，提升临空经济区市容环境。</w:t>
            </w:r>
          </w:p>
          <w:p>
            <w:pPr>
              <w:pStyle w:val="16"/>
            </w:pP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249"/>
        <w:gridCol w:w="1683"/>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249" w:type="dxa"/>
            <w:vAlign w:val="center"/>
          </w:tcPr>
          <w:p>
            <w:pPr>
              <w:pStyle w:val="14"/>
            </w:pPr>
            <w:r>
              <w:t>绩效指标描述</w:t>
            </w:r>
          </w:p>
        </w:tc>
        <w:tc>
          <w:tcPr>
            <w:tcW w:w="1683"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园林绿化面积</w:t>
            </w:r>
          </w:p>
        </w:tc>
        <w:tc>
          <w:tcPr>
            <w:tcW w:w="3249" w:type="dxa"/>
            <w:vAlign w:val="center"/>
          </w:tcPr>
          <w:p>
            <w:pPr>
              <w:pStyle w:val="16"/>
            </w:pPr>
            <w:r>
              <w:t>绿化养护总面积</w:t>
            </w:r>
          </w:p>
        </w:tc>
        <w:tc>
          <w:tcPr>
            <w:tcW w:w="1683" w:type="dxa"/>
            <w:vAlign w:val="center"/>
          </w:tcPr>
          <w:p>
            <w:pPr>
              <w:pStyle w:val="16"/>
            </w:pPr>
            <w:r>
              <w:t>≥66.8万平方米</w:t>
            </w:r>
          </w:p>
        </w:tc>
        <w:tc>
          <w:tcPr>
            <w:tcW w:w="2466" w:type="dxa"/>
            <w:vAlign w:val="center"/>
          </w:tcPr>
          <w:p>
            <w:pPr>
              <w:pStyle w:val="16"/>
            </w:pPr>
            <w:r>
              <w:t>依据合同要求</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摆放花卉种类</w:t>
            </w:r>
          </w:p>
        </w:tc>
        <w:tc>
          <w:tcPr>
            <w:tcW w:w="3249" w:type="dxa"/>
            <w:vAlign w:val="center"/>
          </w:tcPr>
          <w:p>
            <w:pPr>
              <w:pStyle w:val="16"/>
            </w:pPr>
            <w:r>
              <w:t>考察摆放花卉种类情况</w:t>
            </w:r>
          </w:p>
        </w:tc>
        <w:tc>
          <w:tcPr>
            <w:tcW w:w="1683" w:type="dxa"/>
            <w:vAlign w:val="center"/>
          </w:tcPr>
          <w:p>
            <w:pPr>
              <w:pStyle w:val="16"/>
            </w:pPr>
            <w:r>
              <w:t>≥20种</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花卉总盆数</w:t>
            </w:r>
          </w:p>
        </w:tc>
        <w:tc>
          <w:tcPr>
            <w:tcW w:w="3249" w:type="dxa"/>
            <w:vAlign w:val="center"/>
          </w:tcPr>
          <w:p>
            <w:pPr>
              <w:pStyle w:val="16"/>
            </w:pPr>
            <w:r>
              <w:t>考察摆放花卉总盆数情况</w:t>
            </w:r>
          </w:p>
        </w:tc>
        <w:tc>
          <w:tcPr>
            <w:tcW w:w="1683" w:type="dxa"/>
            <w:vAlign w:val="center"/>
          </w:tcPr>
          <w:p>
            <w:pPr>
              <w:pStyle w:val="16"/>
            </w:pPr>
            <w:r>
              <w:t>≥35万盆</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摆放花卉次数</w:t>
            </w:r>
          </w:p>
        </w:tc>
        <w:tc>
          <w:tcPr>
            <w:tcW w:w="3249" w:type="dxa"/>
            <w:vAlign w:val="center"/>
          </w:tcPr>
          <w:p>
            <w:pPr>
              <w:pStyle w:val="16"/>
            </w:pPr>
            <w:r>
              <w:t>考察摆放花卉总次数情况</w:t>
            </w:r>
          </w:p>
        </w:tc>
        <w:tc>
          <w:tcPr>
            <w:tcW w:w="1683" w:type="dxa"/>
            <w:vAlign w:val="center"/>
          </w:tcPr>
          <w:p>
            <w:pPr>
              <w:pStyle w:val="16"/>
            </w:pPr>
            <w:r>
              <w:t>≥1次</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道路清扫每日作业次数</w:t>
            </w:r>
          </w:p>
        </w:tc>
        <w:tc>
          <w:tcPr>
            <w:tcW w:w="3249" w:type="dxa"/>
            <w:vAlign w:val="center"/>
          </w:tcPr>
          <w:p>
            <w:pPr>
              <w:pStyle w:val="16"/>
            </w:pPr>
            <w:r>
              <w:t>考察道路清扫每日作业次数情况</w:t>
            </w:r>
          </w:p>
        </w:tc>
        <w:tc>
          <w:tcPr>
            <w:tcW w:w="1683" w:type="dxa"/>
            <w:vAlign w:val="center"/>
          </w:tcPr>
          <w:p>
            <w:pPr>
              <w:pStyle w:val="16"/>
            </w:pPr>
            <w:r>
              <w:t>≥1次</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环卫作业质量考核次数</w:t>
            </w:r>
          </w:p>
        </w:tc>
        <w:tc>
          <w:tcPr>
            <w:tcW w:w="3249" w:type="dxa"/>
            <w:vAlign w:val="center"/>
          </w:tcPr>
          <w:p>
            <w:pPr>
              <w:pStyle w:val="16"/>
            </w:pPr>
            <w:r>
              <w:t>考察环卫作业质量考核次数情况</w:t>
            </w:r>
          </w:p>
        </w:tc>
        <w:tc>
          <w:tcPr>
            <w:tcW w:w="1683" w:type="dxa"/>
            <w:vAlign w:val="center"/>
          </w:tcPr>
          <w:p>
            <w:pPr>
              <w:pStyle w:val="16"/>
            </w:pPr>
            <w:r>
              <w:t>≥12次</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网格巡查服务保障天数</w:t>
            </w:r>
          </w:p>
        </w:tc>
        <w:tc>
          <w:tcPr>
            <w:tcW w:w="3249" w:type="dxa"/>
            <w:vAlign w:val="center"/>
          </w:tcPr>
          <w:p>
            <w:pPr>
              <w:pStyle w:val="16"/>
            </w:pPr>
            <w:r>
              <w:t>考察网格巡查服务保障天数</w:t>
            </w:r>
          </w:p>
        </w:tc>
        <w:tc>
          <w:tcPr>
            <w:tcW w:w="1683" w:type="dxa"/>
            <w:vAlign w:val="center"/>
          </w:tcPr>
          <w:p>
            <w:pPr>
              <w:pStyle w:val="16"/>
            </w:pPr>
            <w:r>
              <w:t>365天</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建成区、建设区、待建区巡查面积</w:t>
            </w:r>
          </w:p>
        </w:tc>
        <w:tc>
          <w:tcPr>
            <w:tcW w:w="3249" w:type="dxa"/>
            <w:vAlign w:val="center"/>
          </w:tcPr>
          <w:p>
            <w:pPr>
              <w:pStyle w:val="16"/>
            </w:pPr>
            <w:r>
              <w:t>考察建成区、建设区、待建区巡查面积</w:t>
            </w:r>
          </w:p>
        </w:tc>
        <w:tc>
          <w:tcPr>
            <w:tcW w:w="1683" w:type="dxa"/>
            <w:vAlign w:val="center"/>
          </w:tcPr>
          <w:p>
            <w:pPr>
              <w:pStyle w:val="16"/>
            </w:pPr>
            <w:r>
              <w:t>≥2636亩</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网格巡查事项数量</w:t>
            </w:r>
          </w:p>
        </w:tc>
        <w:tc>
          <w:tcPr>
            <w:tcW w:w="3249" w:type="dxa"/>
            <w:vAlign w:val="center"/>
          </w:tcPr>
          <w:p>
            <w:pPr>
              <w:pStyle w:val="16"/>
            </w:pPr>
            <w:r>
              <w:t>市容环境类、宣传广告类、施工管理类、街面秩序类、突发事件类、公用设施类、交通设施类、市容环境设施类、园林绿化设施类、其他部件类</w:t>
            </w:r>
          </w:p>
        </w:tc>
        <w:tc>
          <w:tcPr>
            <w:tcW w:w="1683" w:type="dxa"/>
            <w:vAlign w:val="center"/>
          </w:tcPr>
          <w:p>
            <w:pPr>
              <w:pStyle w:val="16"/>
            </w:pPr>
            <w:r>
              <w:t>10项</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植物成活率</w:t>
            </w:r>
          </w:p>
        </w:tc>
        <w:tc>
          <w:tcPr>
            <w:tcW w:w="3249" w:type="dxa"/>
            <w:vAlign w:val="center"/>
          </w:tcPr>
          <w:p>
            <w:pPr>
              <w:pStyle w:val="16"/>
            </w:pPr>
            <w:r>
              <w:t>植物成活数量/总数量*100%</w:t>
            </w:r>
          </w:p>
        </w:tc>
        <w:tc>
          <w:tcPr>
            <w:tcW w:w="1683" w:type="dxa"/>
            <w:vAlign w:val="center"/>
          </w:tcPr>
          <w:p>
            <w:pPr>
              <w:pStyle w:val="16"/>
            </w:pPr>
            <w:r>
              <w:t>≥90%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摆花验收合格率</w:t>
            </w:r>
          </w:p>
        </w:tc>
        <w:tc>
          <w:tcPr>
            <w:tcW w:w="3249" w:type="dxa"/>
            <w:vAlign w:val="center"/>
          </w:tcPr>
          <w:p>
            <w:pPr>
              <w:pStyle w:val="16"/>
            </w:pPr>
            <w:r>
              <w:t>摆花验收合格数量/验收总数量*100%</w:t>
            </w:r>
          </w:p>
        </w:tc>
        <w:tc>
          <w:tcPr>
            <w:tcW w:w="1683"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区域环境卫生质量达标率</w:t>
            </w:r>
          </w:p>
        </w:tc>
        <w:tc>
          <w:tcPr>
            <w:tcW w:w="3249" w:type="dxa"/>
            <w:vAlign w:val="center"/>
          </w:tcPr>
          <w:p>
            <w:pPr>
              <w:pStyle w:val="16"/>
            </w:pPr>
            <w:r>
              <w:t>区域环境卫生质量达标面积/总面积*100%</w:t>
            </w:r>
          </w:p>
        </w:tc>
        <w:tc>
          <w:tcPr>
            <w:tcW w:w="1683"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网格巡查面积执行率</w:t>
            </w:r>
          </w:p>
        </w:tc>
        <w:tc>
          <w:tcPr>
            <w:tcW w:w="3249" w:type="dxa"/>
            <w:vAlign w:val="center"/>
          </w:tcPr>
          <w:p>
            <w:pPr>
              <w:pStyle w:val="16"/>
            </w:pPr>
            <w:r>
              <w:t>网格巡查面积数量/网格巡查总面积*100%</w:t>
            </w:r>
          </w:p>
        </w:tc>
        <w:tc>
          <w:tcPr>
            <w:tcW w:w="1683"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项目完成及时性</w:t>
            </w:r>
          </w:p>
        </w:tc>
        <w:tc>
          <w:tcPr>
            <w:tcW w:w="3249" w:type="dxa"/>
            <w:vAlign w:val="center"/>
          </w:tcPr>
          <w:p>
            <w:pPr>
              <w:pStyle w:val="16"/>
            </w:pPr>
            <w:r>
              <w:t>考察项目是否于12月底前完成</w:t>
            </w:r>
          </w:p>
        </w:tc>
        <w:tc>
          <w:tcPr>
            <w:tcW w:w="1683" w:type="dxa"/>
            <w:vAlign w:val="center"/>
          </w:tcPr>
          <w:p>
            <w:pPr>
              <w:pStyle w:val="16"/>
            </w:pPr>
            <w:r>
              <w:t>及时</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项目总成本</w:t>
            </w:r>
          </w:p>
        </w:tc>
        <w:tc>
          <w:tcPr>
            <w:tcW w:w="3249" w:type="dxa"/>
            <w:vAlign w:val="center"/>
          </w:tcPr>
          <w:p>
            <w:pPr>
              <w:pStyle w:val="16"/>
            </w:pPr>
            <w:r>
              <w:t>考察项目总成本控制情况</w:t>
            </w:r>
          </w:p>
        </w:tc>
        <w:tc>
          <w:tcPr>
            <w:tcW w:w="1683" w:type="dxa"/>
            <w:vAlign w:val="center"/>
          </w:tcPr>
          <w:p>
            <w:pPr>
              <w:pStyle w:val="16"/>
            </w:pPr>
            <w:r>
              <w:t>≤3500万元</w:t>
            </w:r>
          </w:p>
        </w:tc>
        <w:tc>
          <w:tcPr>
            <w:tcW w:w="2466" w:type="dxa"/>
            <w:vAlign w:val="center"/>
          </w:tcPr>
          <w:p>
            <w:pPr>
              <w:pStyle w:val="16"/>
            </w:pPr>
            <w:r>
              <w:t>工作计划</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提高区域社会稳定性</w:t>
            </w:r>
          </w:p>
        </w:tc>
        <w:tc>
          <w:tcPr>
            <w:tcW w:w="3249" w:type="dxa"/>
            <w:vAlign w:val="center"/>
          </w:tcPr>
          <w:p>
            <w:pPr>
              <w:pStyle w:val="16"/>
            </w:pPr>
            <w:r>
              <w:t>项目安全巡查、市容市貌政治</w:t>
            </w:r>
            <w:r>
              <w:rPr>
                <w:rFonts w:hint="eastAsia"/>
                <w:lang w:val="en-US" w:eastAsia="zh-CN"/>
              </w:rPr>
              <w:t>巡察</w:t>
            </w:r>
            <w:r>
              <w:t>、投诉接待等巡查</w:t>
            </w:r>
          </w:p>
        </w:tc>
        <w:tc>
          <w:tcPr>
            <w:tcW w:w="1683" w:type="dxa"/>
            <w:vAlign w:val="center"/>
          </w:tcPr>
          <w:p>
            <w:pPr>
              <w:pStyle w:val="16"/>
            </w:pPr>
            <w:r>
              <w:t>提高</w:t>
            </w:r>
          </w:p>
        </w:tc>
        <w:tc>
          <w:tcPr>
            <w:tcW w:w="2466" w:type="dxa"/>
            <w:vAlign w:val="center"/>
          </w:tcPr>
          <w:p>
            <w:pPr>
              <w:pStyle w:val="16"/>
            </w:pPr>
            <w:r>
              <w:t>部门职责</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提升环境质量</w:t>
            </w:r>
          </w:p>
        </w:tc>
        <w:tc>
          <w:tcPr>
            <w:tcW w:w="3249" w:type="dxa"/>
            <w:vAlign w:val="center"/>
          </w:tcPr>
          <w:p>
            <w:pPr>
              <w:pStyle w:val="16"/>
            </w:pPr>
            <w:r>
              <w:t>提升环境质量，促进区域绿色发展，城市生态得到改善，污染减少</w:t>
            </w:r>
          </w:p>
        </w:tc>
        <w:tc>
          <w:tcPr>
            <w:tcW w:w="1683" w:type="dxa"/>
            <w:vAlign w:val="center"/>
          </w:tcPr>
          <w:p>
            <w:pPr>
              <w:pStyle w:val="16"/>
            </w:pPr>
            <w:r>
              <w:t>提升</w:t>
            </w:r>
          </w:p>
        </w:tc>
        <w:tc>
          <w:tcPr>
            <w:tcW w:w="2466" w:type="dxa"/>
            <w:vAlign w:val="center"/>
          </w:tcPr>
          <w:p>
            <w:pPr>
              <w:pStyle w:val="16"/>
            </w:pPr>
            <w:r>
              <w:t>工作计划</w:t>
            </w:r>
          </w:p>
        </w:tc>
      </w:tr>
      <w:tr>
        <w:trPr>
          <w:trHeight w:val="397" w:hRule="atLeast"/>
          <w:jc w:val="center"/>
        </w:trPr>
        <w:tc>
          <w:tcPr>
            <w:tcW w:w="2466" w:type="dxa"/>
            <w:vMerge w:val="restart"/>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主管部门对项目实施的满意人数/调查总人数*100%</w:t>
            </w:r>
          </w:p>
        </w:tc>
        <w:tc>
          <w:tcPr>
            <w:tcW w:w="3249" w:type="dxa"/>
            <w:vAlign w:val="center"/>
          </w:tcPr>
          <w:p>
            <w:pPr>
              <w:pStyle w:val="16"/>
            </w:pPr>
            <w:r>
              <w:t>达到目标值得满分，每降低1%扣权重分10%，扣完为止。</w:t>
            </w:r>
          </w:p>
        </w:tc>
        <w:tc>
          <w:tcPr>
            <w:tcW w:w="1683" w:type="dxa"/>
            <w:vAlign w:val="center"/>
          </w:tcPr>
          <w:p>
            <w:pPr>
              <w:pStyle w:val="16"/>
            </w:pPr>
            <w:r>
              <w:t>≥90%</w:t>
            </w:r>
          </w:p>
        </w:tc>
        <w:tc>
          <w:tcPr>
            <w:tcW w:w="2466" w:type="dxa"/>
            <w:vAlign w:val="center"/>
          </w:tcPr>
          <w:p>
            <w:pPr>
              <w:pStyle w:val="16"/>
            </w:pPr>
            <w:r>
              <w:t>调查问卷</w:t>
            </w:r>
          </w:p>
        </w:tc>
      </w:tr>
      <w:tr>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区域居民对项目实施的满意人数/调查总人数*100%</w:t>
            </w:r>
          </w:p>
        </w:tc>
        <w:tc>
          <w:tcPr>
            <w:tcW w:w="3249" w:type="dxa"/>
            <w:vAlign w:val="center"/>
          </w:tcPr>
          <w:p>
            <w:pPr>
              <w:pStyle w:val="16"/>
            </w:pPr>
            <w:r>
              <w:t>达到目标值得满分，每降低1%扣权重分10%，扣完为止。</w:t>
            </w:r>
          </w:p>
        </w:tc>
        <w:tc>
          <w:tcPr>
            <w:tcW w:w="1683"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45、创新服务产业园区基础设施建设项目工程前期费绩效目标表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1.通过该项目的实施确保2022年北京大兴国际机场临空经济区（廊坊）专项债券项目成功申报，提升区域社会影响力、区域价值，促进区域基础设施建设顺利开展。</w:t>
            </w:r>
          </w:p>
          <w:p>
            <w:pPr>
              <w:pStyle w:val="16"/>
            </w:pPr>
            <w:r>
              <w:t>2.河北省2022年专项债券提前批申请工作迫在眉睫，项目实施后将为北京大兴国际机场临空经济区（廊坊）基础建设项目专项债券申报工作提供支持，为确保工程顺利实施，急需费用落实该项目。</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协调推进项目数量</w:t>
            </w:r>
          </w:p>
        </w:tc>
        <w:tc>
          <w:tcPr>
            <w:tcW w:w="2835" w:type="dxa"/>
            <w:vAlign w:val="center"/>
          </w:tcPr>
          <w:p>
            <w:pPr>
              <w:pStyle w:val="16"/>
            </w:pPr>
            <w:r>
              <w:t>协调推进项目数量</w:t>
            </w:r>
          </w:p>
        </w:tc>
        <w:tc>
          <w:tcPr>
            <w:tcW w:w="2551" w:type="dxa"/>
            <w:vAlign w:val="center"/>
          </w:tcPr>
          <w:p>
            <w:pPr>
              <w:pStyle w:val="16"/>
            </w:pPr>
            <w:r>
              <w:t>2个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评估报告数量</w:t>
            </w:r>
          </w:p>
        </w:tc>
        <w:tc>
          <w:tcPr>
            <w:tcW w:w="2835" w:type="dxa"/>
            <w:vAlign w:val="center"/>
          </w:tcPr>
          <w:p>
            <w:pPr>
              <w:pStyle w:val="16"/>
            </w:pPr>
            <w:r>
              <w:t>反映形成评估报告数量</w:t>
            </w:r>
          </w:p>
        </w:tc>
        <w:tc>
          <w:tcPr>
            <w:tcW w:w="2551" w:type="dxa"/>
            <w:vAlign w:val="center"/>
          </w:tcPr>
          <w:p>
            <w:pPr>
              <w:pStyle w:val="16"/>
            </w:pPr>
            <w:r>
              <w:t>2个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取得主管部门批复</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反映项目完成时间</w:t>
            </w:r>
          </w:p>
        </w:tc>
        <w:tc>
          <w:tcPr>
            <w:tcW w:w="2551" w:type="dxa"/>
            <w:vAlign w:val="center"/>
          </w:tcPr>
          <w:p>
            <w:pPr>
              <w:pStyle w:val="16"/>
            </w:pPr>
            <w:r>
              <w:t>2022年1月</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项目预算控制率</w:t>
            </w:r>
          </w:p>
        </w:tc>
        <w:tc>
          <w:tcPr>
            <w:tcW w:w="2835" w:type="dxa"/>
            <w:vAlign w:val="center"/>
          </w:tcPr>
          <w:p>
            <w:pPr>
              <w:pStyle w:val="16"/>
            </w:pPr>
            <w:r>
              <w:t>实际项目成本/项目预算数*100%</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促进区域基础设施建设顺利开展</w:t>
            </w:r>
          </w:p>
        </w:tc>
        <w:tc>
          <w:tcPr>
            <w:tcW w:w="2835" w:type="dxa"/>
            <w:vAlign w:val="center"/>
          </w:tcPr>
          <w:p>
            <w:pPr>
              <w:pStyle w:val="16"/>
            </w:pPr>
            <w:r>
              <w:t>通过本项目带动专项债券落地，促进区域基础设施建设顺利开展</w:t>
            </w:r>
          </w:p>
        </w:tc>
        <w:tc>
          <w:tcPr>
            <w:tcW w:w="2551" w:type="dxa"/>
            <w:vAlign w:val="center"/>
          </w:tcPr>
          <w:p>
            <w:pPr>
              <w:pStyle w:val="16"/>
            </w:pPr>
            <w:r>
              <w:t>促进开发建设</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带动临空区经济发展</w:t>
            </w:r>
          </w:p>
        </w:tc>
        <w:tc>
          <w:tcPr>
            <w:tcW w:w="2835" w:type="dxa"/>
            <w:vAlign w:val="center"/>
          </w:tcPr>
          <w:p>
            <w:pPr>
              <w:pStyle w:val="16"/>
            </w:pPr>
            <w:r>
              <w:t>通过本项目促进专项债券落地，带动临空区经济发展</w:t>
            </w:r>
          </w:p>
        </w:tc>
        <w:tc>
          <w:tcPr>
            <w:tcW w:w="2551" w:type="dxa"/>
            <w:vAlign w:val="center"/>
          </w:tcPr>
          <w:p>
            <w:pPr>
              <w:pStyle w:val="16"/>
            </w:pPr>
            <w:r>
              <w:t>带动经济发展</w:t>
            </w:r>
          </w:p>
        </w:tc>
        <w:tc>
          <w:tcPr>
            <w:tcW w:w="2268" w:type="dxa"/>
            <w:vAlign w:val="center"/>
          </w:tcPr>
          <w:p>
            <w:pPr>
              <w:pStyle w:val="16"/>
            </w:pPr>
            <w:r>
              <w:t>工作要求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主管单位满意度</w:t>
            </w:r>
          </w:p>
        </w:tc>
        <w:tc>
          <w:tcPr>
            <w:tcW w:w="2551" w:type="dxa"/>
            <w:vAlign w:val="center"/>
          </w:tcPr>
          <w:p>
            <w:pPr>
              <w:pStyle w:val="16"/>
            </w:pPr>
            <w:r>
              <w:t>≥95%</w:t>
            </w:r>
          </w:p>
        </w:tc>
        <w:tc>
          <w:tcPr>
            <w:tcW w:w="2268" w:type="dxa"/>
            <w:vAlign w:val="center"/>
          </w:tcPr>
          <w:p>
            <w:pPr>
              <w:pStyle w:val="16"/>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46、存量建设用地收储勘测定界和权属调查费用绩效目标表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1.尽快完成管委会安排部署的既定招商项目、市政项目的土地储备供应工作，保证临空经济区建设进度，保障重点产业项目加速落地。</w:t>
            </w:r>
          </w:p>
          <w:p>
            <w:pPr>
              <w:pStyle w:val="16"/>
            </w:pPr>
            <w:r>
              <w:t>2.通过项目的开展，完成勘测定界和权属调查地块不少于2860亩，设计方案通过率100%，项目按时完成，总成本不高于80万，本项目由自然资源和规划局临空分局负责实施。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勘测定界和权属调查地块完成数量</w:t>
            </w:r>
          </w:p>
        </w:tc>
        <w:tc>
          <w:tcPr>
            <w:tcW w:w="2835" w:type="dxa"/>
            <w:vAlign w:val="center"/>
          </w:tcPr>
          <w:p>
            <w:pPr>
              <w:pStyle w:val="16"/>
            </w:pPr>
            <w:r>
              <w:t>收储前勘测定界和权属调查地块完成数量</w:t>
            </w:r>
          </w:p>
        </w:tc>
        <w:tc>
          <w:tcPr>
            <w:tcW w:w="2551" w:type="dxa"/>
            <w:vAlign w:val="center"/>
          </w:tcPr>
          <w:p>
            <w:pPr>
              <w:pStyle w:val="16"/>
            </w:pPr>
            <w:r>
              <w:t>≥1块</w:t>
            </w:r>
          </w:p>
        </w:tc>
        <w:tc>
          <w:tcPr>
            <w:tcW w:w="2268" w:type="dxa"/>
            <w:vAlign w:val="center"/>
          </w:tcPr>
          <w:p>
            <w:pPr>
              <w:pStyle w:val="16"/>
            </w:pPr>
            <w:r>
              <w:t>存量土地</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设计方案通过率</w:t>
            </w:r>
          </w:p>
        </w:tc>
        <w:tc>
          <w:tcPr>
            <w:tcW w:w="2835" w:type="dxa"/>
            <w:vAlign w:val="center"/>
          </w:tcPr>
          <w:p>
            <w:pPr>
              <w:pStyle w:val="16"/>
            </w:pPr>
            <w:r>
              <w:t>反应主管部门考核设计方案适用性情况</w:t>
            </w:r>
          </w:p>
        </w:tc>
        <w:tc>
          <w:tcPr>
            <w:tcW w:w="2551" w:type="dxa"/>
            <w:vAlign w:val="center"/>
          </w:tcPr>
          <w:p>
            <w:pPr>
              <w:pStyle w:val="16"/>
            </w:pPr>
            <w:r>
              <w:t>100%</w:t>
            </w:r>
          </w:p>
        </w:tc>
        <w:tc>
          <w:tcPr>
            <w:tcW w:w="2268" w:type="dxa"/>
            <w:vAlign w:val="center"/>
          </w:tcPr>
          <w:p>
            <w:pPr>
              <w:pStyle w:val="16"/>
            </w:pPr>
            <w:r>
              <w:t>主管部门考核意见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合同规定工期</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成本预算不高于80万</w:t>
            </w:r>
          </w:p>
        </w:tc>
        <w:tc>
          <w:tcPr>
            <w:tcW w:w="2551" w:type="dxa"/>
            <w:vAlign w:val="center"/>
          </w:tcPr>
          <w:p>
            <w:pPr>
              <w:pStyle w:val="16"/>
            </w:pPr>
            <w:r>
              <w:t>≤80万元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保障重点产业项目加速落地</w:t>
            </w:r>
          </w:p>
        </w:tc>
        <w:tc>
          <w:tcPr>
            <w:tcW w:w="2835" w:type="dxa"/>
            <w:vAlign w:val="center"/>
          </w:tcPr>
          <w:p>
            <w:pPr>
              <w:pStyle w:val="16"/>
            </w:pPr>
            <w:r>
              <w:t>通过项目开展，保障重点产业项目加速落地</w:t>
            </w:r>
          </w:p>
        </w:tc>
        <w:tc>
          <w:tcPr>
            <w:tcW w:w="2551" w:type="dxa"/>
            <w:vAlign w:val="center"/>
          </w:tcPr>
          <w:p>
            <w:pPr>
              <w:pStyle w:val="16"/>
            </w:pPr>
            <w:r>
              <w:t>有效保障</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甲方满意度</w:t>
            </w:r>
          </w:p>
        </w:tc>
        <w:tc>
          <w:tcPr>
            <w:tcW w:w="2835" w:type="dxa"/>
            <w:vAlign w:val="center"/>
          </w:tcPr>
          <w:p>
            <w:pPr>
              <w:pStyle w:val="16"/>
            </w:pPr>
            <w:r>
              <w:t>甲方科室满意人数/调查总人数*100%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47、党建活动经费绩效目标表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1.广泛开展形式多样的宣传活动，为廊坊临空经济区规划建设凝聚共识、汇聚力量。通过对临空经济区的日常形象宣传进行布置，可以达到提高廊坊临空经济区良好形象以及提高招商引资良好环境的效果。</w:t>
            </w:r>
          </w:p>
          <w:p>
            <w:pPr>
              <w:pStyle w:val="16"/>
            </w:pPr>
            <w:r>
              <w:t>2.持续维护、布置临空经济区二十大宣传物料，打造</w:t>
            </w:r>
            <w:r>
              <w:rPr>
                <w:rFonts w:hint="eastAsia"/>
              </w:rPr>
              <w:t>学习党的二十大精神</w:t>
            </w:r>
            <w:r>
              <w:t>氛围，提升区域党建内容。</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节庆景观数</w:t>
            </w:r>
          </w:p>
        </w:tc>
        <w:tc>
          <w:tcPr>
            <w:tcW w:w="2835" w:type="dxa"/>
            <w:vAlign w:val="center"/>
          </w:tcPr>
          <w:p>
            <w:pPr>
              <w:pStyle w:val="16"/>
            </w:pPr>
            <w:r>
              <w:t>于节庆期间布置的特色景观数</w:t>
            </w:r>
          </w:p>
        </w:tc>
        <w:tc>
          <w:tcPr>
            <w:tcW w:w="2551" w:type="dxa"/>
            <w:vAlign w:val="center"/>
          </w:tcPr>
          <w:p>
            <w:pPr>
              <w:pStyle w:val="16"/>
            </w:pPr>
            <w:r>
              <w:t>≥2个</w:t>
            </w:r>
          </w:p>
        </w:tc>
        <w:tc>
          <w:tcPr>
            <w:tcW w:w="2268" w:type="dxa"/>
            <w:vAlign w:val="center"/>
          </w:tcPr>
          <w:p>
            <w:pPr>
              <w:pStyle w:val="16"/>
            </w:pPr>
            <w:r>
              <w:t>工作方案</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宣传素材质量合格率</w:t>
            </w:r>
          </w:p>
        </w:tc>
        <w:tc>
          <w:tcPr>
            <w:tcW w:w="2835" w:type="dxa"/>
            <w:vAlign w:val="center"/>
          </w:tcPr>
          <w:p>
            <w:pPr>
              <w:pStyle w:val="16"/>
            </w:pPr>
            <w:r>
              <w:t>质量合格素材数/总素材数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活动完成</w:t>
            </w:r>
          </w:p>
        </w:tc>
        <w:tc>
          <w:tcPr>
            <w:tcW w:w="2835" w:type="dxa"/>
            <w:vAlign w:val="center"/>
          </w:tcPr>
          <w:p>
            <w:pPr>
              <w:pStyle w:val="16"/>
            </w:pPr>
            <w:r>
              <w:t>节庆期间及时开办活动</w:t>
            </w:r>
          </w:p>
        </w:tc>
        <w:tc>
          <w:tcPr>
            <w:tcW w:w="2551" w:type="dxa"/>
            <w:vAlign w:val="center"/>
          </w:tcPr>
          <w:p>
            <w:pPr>
              <w:pStyle w:val="16"/>
            </w:pPr>
            <w:r>
              <w:t>及时</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素材及时到位</w:t>
            </w:r>
          </w:p>
        </w:tc>
        <w:tc>
          <w:tcPr>
            <w:tcW w:w="2835" w:type="dxa"/>
            <w:vAlign w:val="center"/>
          </w:tcPr>
          <w:p>
            <w:pPr>
              <w:pStyle w:val="16"/>
            </w:pPr>
            <w:r>
              <w:t>新宣传素材及时到位</w:t>
            </w:r>
          </w:p>
        </w:tc>
        <w:tc>
          <w:tcPr>
            <w:tcW w:w="2551" w:type="dxa"/>
            <w:vAlign w:val="center"/>
          </w:tcPr>
          <w:p>
            <w:pPr>
              <w:pStyle w:val="16"/>
            </w:pPr>
            <w:r>
              <w:t>及时</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奖品成本</w:t>
            </w:r>
          </w:p>
        </w:tc>
        <w:tc>
          <w:tcPr>
            <w:tcW w:w="2835" w:type="dxa"/>
            <w:vAlign w:val="center"/>
          </w:tcPr>
          <w:p>
            <w:pPr>
              <w:pStyle w:val="16"/>
            </w:pPr>
            <w:r>
              <w:t>奖励活动颁发奖品</w:t>
            </w:r>
          </w:p>
        </w:tc>
        <w:tc>
          <w:tcPr>
            <w:tcW w:w="2551" w:type="dxa"/>
            <w:vAlign w:val="center"/>
          </w:tcPr>
          <w:p>
            <w:pPr>
              <w:pStyle w:val="16"/>
            </w:pPr>
            <w:r>
              <w:t>≤2万元</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临空区氛围</w:t>
            </w:r>
          </w:p>
        </w:tc>
        <w:tc>
          <w:tcPr>
            <w:tcW w:w="2835" w:type="dxa"/>
            <w:vAlign w:val="center"/>
          </w:tcPr>
          <w:p>
            <w:pPr>
              <w:pStyle w:val="16"/>
            </w:pPr>
            <w:r>
              <w:t>提升区域党建氛围</w:t>
            </w:r>
          </w:p>
        </w:tc>
        <w:tc>
          <w:tcPr>
            <w:tcW w:w="2551" w:type="dxa"/>
            <w:vAlign w:val="center"/>
          </w:tcPr>
          <w:p>
            <w:pPr>
              <w:pStyle w:val="16"/>
            </w:pPr>
            <w:r>
              <w:t>增强</w:t>
            </w:r>
          </w:p>
        </w:tc>
        <w:tc>
          <w:tcPr>
            <w:tcW w:w="2268" w:type="dxa"/>
            <w:vAlign w:val="center"/>
          </w:tcPr>
          <w:p>
            <w:pPr>
              <w:pStyle w:val="16"/>
            </w:pPr>
            <w:r>
              <w:t>根据工作实际和需求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参加活动人员对活动效果满意度（%）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48、电子政务内网迁移及服务建设项目绩效目标表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1.本项为确保临空经济区（廊坊）管委会公文正常收发运转，确保接收市委、市政府，市直其他相关关部门文件及时到位，保障工作有序进行。</w:t>
            </w:r>
          </w:p>
          <w:p>
            <w:pPr>
              <w:pStyle w:val="16"/>
            </w:pPr>
            <w:r>
              <w:t>2.保障电子政务内网顺利迁移，接收市委、市政府，市直相关各部门涉密文件及非涉密的文件，及时传达落实文件，保证临空经济区（廊坊）管委会公文运转有序进行。</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联通政务网线路</w:t>
            </w:r>
          </w:p>
        </w:tc>
        <w:tc>
          <w:tcPr>
            <w:tcW w:w="2835" w:type="dxa"/>
            <w:vAlign w:val="center"/>
          </w:tcPr>
          <w:p>
            <w:pPr>
              <w:pStyle w:val="16"/>
            </w:pPr>
            <w:r>
              <w:t>联通政务网线路条数</w:t>
            </w:r>
          </w:p>
        </w:tc>
        <w:tc>
          <w:tcPr>
            <w:tcW w:w="2551" w:type="dxa"/>
            <w:vAlign w:val="center"/>
          </w:tcPr>
          <w:p>
            <w:pPr>
              <w:pStyle w:val="16"/>
            </w:pPr>
            <w:r>
              <w:t>1条</w:t>
            </w:r>
          </w:p>
        </w:tc>
        <w:tc>
          <w:tcPr>
            <w:tcW w:w="2268" w:type="dxa"/>
            <w:vAlign w:val="center"/>
          </w:tcPr>
          <w:p>
            <w:pPr>
              <w:pStyle w:val="16"/>
            </w:pPr>
            <w:r>
              <w:t>实际需求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线路搭建完成时限</w:t>
            </w:r>
          </w:p>
        </w:tc>
        <w:tc>
          <w:tcPr>
            <w:tcW w:w="2551" w:type="dxa"/>
            <w:vAlign w:val="center"/>
          </w:tcPr>
          <w:p>
            <w:pPr>
              <w:pStyle w:val="16"/>
            </w:pPr>
            <w:r>
              <w:t>1月</w:t>
            </w:r>
          </w:p>
        </w:tc>
        <w:tc>
          <w:tcPr>
            <w:tcW w:w="2268" w:type="dxa"/>
            <w:vAlign w:val="center"/>
          </w:tcPr>
          <w:p>
            <w:pPr>
              <w:pStyle w:val="16"/>
            </w:pPr>
            <w:r>
              <w:t>单位需要</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联通政务网系统设备</w:t>
            </w:r>
          </w:p>
        </w:tc>
        <w:tc>
          <w:tcPr>
            <w:tcW w:w="2835" w:type="dxa"/>
            <w:vAlign w:val="center"/>
          </w:tcPr>
          <w:p>
            <w:pPr>
              <w:pStyle w:val="16"/>
            </w:pPr>
            <w:r>
              <w:t>联通政务网系统设备采购费</w:t>
            </w:r>
          </w:p>
        </w:tc>
        <w:tc>
          <w:tcPr>
            <w:tcW w:w="2551" w:type="dxa"/>
            <w:vAlign w:val="center"/>
          </w:tcPr>
          <w:p>
            <w:pPr>
              <w:pStyle w:val="16"/>
            </w:pPr>
            <w:r>
              <w:t>≤0.1万</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联通政务网系统施工</w:t>
            </w:r>
          </w:p>
        </w:tc>
        <w:tc>
          <w:tcPr>
            <w:tcW w:w="2835" w:type="dxa"/>
            <w:vAlign w:val="center"/>
          </w:tcPr>
          <w:p>
            <w:pPr>
              <w:pStyle w:val="16"/>
            </w:pPr>
            <w:r>
              <w:t>联通政务网系统施工费</w:t>
            </w:r>
          </w:p>
        </w:tc>
        <w:tc>
          <w:tcPr>
            <w:tcW w:w="2551" w:type="dxa"/>
            <w:vAlign w:val="center"/>
          </w:tcPr>
          <w:p>
            <w:pPr>
              <w:pStyle w:val="16"/>
            </w:pPr>
            <w:r>
              <w:t>≤3.93万</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联通政务网系统施工</w:t>
            </w:r>
          </w:p>
        </w:tc>
        <w:tc>
          <w:tcPr>
            <w:tcW w:w="2835" w:type="dxa"/>
            <w:vAlign w:val="center"/>
          </w:tcPr>
          <w:p>
            <w:pPr>
              <w:pStyle w:val="16"/>
            </w:pPr>
            <w:r>
              <w:t>联通政务网系统其他费</w:t>
            </w:r>
          </w:p>
        </w:tc>
        <w:tc>
          <w:tcPr>
            <w:tcW w:w="2551" w:type="dxa"/>
            <w:vAlign w:val="center"/>
          </w:tcPr>
          <w:p>
            <w:pPr>
              <w:pStyle w:val="16"/>
            </w:pPr>
            <w:r>
              <w:t>≤1.14万</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联通政务网系统施工</w:t>
            </w:r>
          </w:p>
        </w:tc>
        <w:tc>
          <w:tcPr>
            <w:tcW w:w="2835" w:type="dxa"/>
            <w:vAlign w:val="center"/>
          </w:tcPr>
          <w:p>
            <w:pPr>
              <w:pStyle w:val="16"/>
            </w:pPr>
            <w:r>
              <w:t>联通政务网系统建设费利息</w:t>
            </w:r>
          </w:p>
        </w:tc>
        <w:tc>
          <w:tcPr>
            <w:tcW w:w="2551" w:type="dxa"/>
            <w:vAlign w:val="center"/>
          </w:tcPr>
          <w:p>
            <w:pPr>
              <w:pStyle w:val="16"/>
            </w:pPr>
            <w:r>
              <w:t>≤0.05万</w:t>
            </w:r>
          </w:p>
        </w:tc>
        <w:tc>
          <w:tcPr>
            <w:tcW w:w="2268" w:type="dxa"/>
            <w:vAlign w:val="center"/>
          </w:tcPr>
          <w:p>
            <w:pPr>
              <w:pStyle w:val="16"/>
            </w:pPr>
            <w:r>
              <w:t>合同约定</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政务网信号流畅度</w:t>
            </w:r>
          </w:p>
        </w:tc>
        <w:tc>
          <w:tcPr>
            <w:tcW w:w="2835" w:type="dxa"/>
            <w:vAlign w:val="center"/>
          </w:tcPr>
          <w:p>
            <w:pPr>
              <w:pStyle w:val="16"/>
            </w:pPr>
            <w:r>
              <w:t>信号流畅程度</w:t>
            </w:r>
          </w:p>
        </w:tc>
        <w:tc>
          <w:tcPr>
            <w:tcW w:w="2551" w:type="dxa"/>
            <w:vAlign w:val="center"/>
          </w:tcPr>
          <w:p>
            <w:pPr>
              <w:pStyle w:val="16"/>
            </w:pPr>
            <w:r>
              <w:t>流畅</w:t>
            </w:r>
          </w:p>
        </w:tc>
        <w:tc>
          <w:tcPr>
            <w:tcW w:w="2268" w:type="dxa"/>
            <w:vAlign w:val="center"/>
          </w:tcPr>
          <w:p>
            <w:pPr>
              <w:pStyle w:val="16"/>
            </w:pPr>
            <w:r>
              <w:t>工作需求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部门满意度</w:t>
            </w:r>
          </w:p>
        </w:tc>
        <w:tc>
          <w:tcPr>
            <w:tcW w:w="2835" w:type="dxa"/>
            <w:vAlign w:val="center"/>
          </w:tcPr>
          <w:p>
            <w:pPr>
              <w:pStyle w:val="16"/>
            </w:pPr>
            <w:r>
              <w:t>各部门对会议线路传输的满意</w:t>
            </w:r>
          </w:p>
        </w:tc>
        <w:tc>
          <w:tcPr>
            <w:tcW w:w="2551" w:type="dxa"/>
            <w:vAlign w:val="center"/>
          </w:tcPr>
          <w:p>
            <w:pPr>
              <w:pStyle w:val="16"/>
            </w:pPr>
            <w:r>
              <w:t>≥95%</w:t>
            </w:r>
          </w:p>
        </w:tc>
        <w:tc>
          <w:tcPr>
            <w:tcW w:w="2268" w:type="dxa"/>
            <w:vAlign w:val="center"/>
          </w:tcPr>
          <w:p>
            <w:pPr>
              <w:pStyle w:val="16"/>
            </w:pPr>
            <w:r>
              <w:t>单位标准</w:t>
            </w:r>
          </w:p>
          <w:p>
            <w:pPr>
              <w:pStyle w:val="16"/>
            </w:pPr>
            <w:r>
              <w:t>保障服务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49、发债项目预审选址方案编制和规划衔接方案编制绩效目标表</w:t>
      </w:r>
    </w:p>
    <w:tbl>
      <w:tblPr>
        <w:tblStyle w:val="8"/>
        <w:tblW w:w="14169"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37"/>
        <w:gridCol w:w="12332"/>
      </w:tblGrid>
      <w:tr>
        <w:trPr>
          <w:trHeight w:val="397" w:hRule="atLeast"/>
          <w:jc w:val="center"/>
        </w:trPr>
        <w:tc>
          <w:tcPr>
            <w:tcW w:w="1837"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依据《河北省建设项目用地预审办法》（冀国土资规〔2017〕２号）、《关于推进规划用地“多审合一、多证合一”改革的实施意见》（冀自然资规〔2020〕4号）、《河北省自然资源厅关于强化规划引领保障项目落地的通知》（冀自然资字〔2022〕118号）的要求，保障临空经济区重点产业项目加速落地，保证临空经济区建设进度。</w:t>
            </w:r>
          </w:p>
          <w:p>
            <w:pPr>
              <w:pStyle w:val="16"/>
            </w:pPr>
            <w:r>
              <w:t>2.通过项目开展，确保发债项目取得用地预审与选址意见书，实现临空经济区重大产业项目快速落地，质量达到临空经济区总体规划和产业项目建设要求，2023年底完成，总成本控制在80万元以内。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发债项目个数</w:t>
            </w:r>
          </w:p>
        </w:tc>
        <w:tc>
          <w:tcPr>
            <w:tcW w:w="2835" w:type="dxa"/>
            <w:vAlign w:val="center"/>
          </w:tcPr>
          <w:p>
            <w:pPr>
              <w:pStyle w:val="16"/>
            </w:pPr>
            <w:r>
              <w:t>2023年需进行预审及其他相关工作的项目数量</w:t>
            </w:r>
          </w:p>
        </w:tc>
        <w:tc>
          <w:tcPr>
            <w:tcW w:w="2551" w:type="dxa"/>
            <w:vAlign w:val="center"/>
          </w:tcPr>
          <w:p>
            <w:pPr>
              <w:pStyle w:val="16"/>
            </w:pPr>
            <w:r>
              <w:t>≥1项</w:t>
            </w:r>
          </w:p>
        </w:tc>
        <w:tc>
          <w:tcPr>
            <w:tcW w:w="2268" w:type="dxa"/>
            <w:vAlign w:val="center"/>
          </w:tcPr>
          <w:p>
            <w:pPr>
              <w:pStyle w:val="16"/>
            </w:pPr>
            <w:r>
              <w:t>实际发债项目</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设计方案通过率</w:t>
            </w:r>
          </w:p>
        </w:tc>
        <w:tc>
          <w:tcPr>
            <w:tcW w:w="2835" w:type="dxa"/>
            <w:vAlign w:val="center"/>
          </w:tcPr>
          <w:p>
            <w:pPr>
              <w:pStyle w:val="16"/>
            </w:pPr>
            <w:r>
              <w:t>反映主管部门考核设计方案适用性情况</w:t>
            </w:r>
          </w:p>
        </w:tc>
        <w:tc>
          <w:tcPr>
            <w:tcW w:w="2551" w:type="dxa"/>
            <w:vAlign w:val="center"/>
          </w:tcPr>
          <w:p>
            <w:pPr>
              <w:pStyle w:val="16"/>
            </w:pPr>
            <w:r>
              <w:t>100%</w:t>
            </w:r>
          </w:p>
        </w:tc>
        <w:tc>
          <w:tcPr>
            <w:tcW w:w="2268" w:type="dxa"/>
            <w:vAlign w:val="center"/>
          </w:tcPr>
          <w:p>
            <w:pPr>
              <w:pStyle w:val="16"/>
            </w:pPr>
            <w:r>
              <w:t>主管部门考核意见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发债项目及时性</w:t>
            </w:r>
          </w:p>
        </w:tc>
        <w:tc>
          <w:tcPr>
            <w:tcW w:w="2835" w:type="dxa"/>
            <w:vAlign w:val="center"/>
          </w:tcPr>
          <w:p>
            <w:pPr>
              <w:pStyle w:val="16"/>
            </w:pPr>
            <w:r>
              <w:t>合同规定工期</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成本预算不高于80万</w:t>
            </w:r>
          </w:p>
        </w:tc>
        <w:tc>
          <w:tcPr>
            <w:tcW w:w="2551" w:type="dxa"/>
            <w:vAlign w:val="center"/>
          </w:tcPr>
          <w:p>
            <w:pPr>
              <w:pStyle w:val="16"/>
            </w:pPr>
            <w:r>
              <w:t>≤80万元</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保障临空经济区重点产业项目加速落地</w:t>
            </w:r>
          </w:p>
        </w:tc>
        <w:tc>
          <w:tcPr>
            <w:tcW w:w="2835" w:type="dxa"/>
            <w:vAlign w:val="center"/>
          </w:tcPr>
          <w:p>
            <w:pPr>
              <w:pStyle w:val="16"/>
            </w:pPr>
            <w:r>
              <w:t>通过发债项目保障重点产业项目加速落地</w:t>
            </w:r>
          </w:p>
        </w:tc>
        <w:tc>
          <w:tcPr>
            <w:tcW w:w="2551" w:type="dxa"/>
            <w:vAlign w:val="center"/>
          </w:tcPr>
          <w:p>
            <w:pPr>
              <w:pStyle w:val="16"/>
            </w:pPr>
            <w:r>
              <w:t>有效保障</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甲方使用人员满意度</w:t>
            </w:r>
          </w:p>
        </w:tc>
        <w:tc>
          <w:tcPr>
            <w:tcW w:w="2835" w:type="dxa"/>
            <w:vAlign w:val="center"/>
          </w:tcPr>
          <w:p>
            <w:pPr>
              <w:pStyle w:val="16"/>
            </w:pPr>
            <w:r>
              <w:t>甲方满意人数/调查总人数*100%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50、法律咨询服务项目绩效目标表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1.通过聘请法律服务机构，来确保临空经济区日常工作的合法合规性。</w:t>
            </w:r>
          </w:p>
          <w:p>
            <w:pPr>
              <w:pStyle w:val="16"/>
            </w:pPr>
            <w:r>
              <w:t>2.积极协助管委会各局、筹备组、市直派驻机构就合同、协议等开展文件审核工作，确保合法合规，保护管委会合法权益。</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31"/>
        <w:gridCol w:w="2101"/>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831" w:type="dxa"/>
            <w:vAlign w:val="center"/>
          </w:tcPr>
          <w:p>
            <w:pPr>
              <w:pStyle w:val="14"/>
            </w:pPr>
            <w:r>
              <w:t>绩效指标描述</w:t>
            </w:r>
          </w:p>
        </w:tc>
        <w:tc>
          <w:tcPr>
            <w:tcW w:w="2101"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举办培训活动次数</w:t>
            </w:r>
          </w:p>
        </w:tc>
        <w:tc>
          <w:tcPr>
            <w:tcW w:w="2831" w:type="dxa"/>
            <w:vAlign w:val="center"/>
          </w:tcPr>
          <w:p>
            <w:pPr>
              <w:pStyle w:val="16"/>
            </w:pPr>
            <w:r>
              <w:t>考察合同年度举办法律知识培训活动次数</w:t>
            </w:r>
          </w:p>
        </w:tc>
        <w:tc>
          <w:tcPr>
            <w:tcW w:w="2101" w:type="dxa"/>
            <w:vAlign w:val="center"/>
          </w:tcPr>
          <w:p>
            <w:pPr>
              <w:pStyle w:val="16"/>
            </w:pPr>
            <w:r>
              <w:t>2次</w:t>
            </w:r>
          </w:p>
        </w:tc>
        <w:tc>
          <w:tcPr>
            <w:tcW w:w="2466" w:type="dxa"/>
            <w:vAlign w:val="center"/>
          </w:tcPr>
          <w:p>
            <w:pPr>
              <w:pStyle w:val="16"/>
            </w:pPr>
            <w:r>
              <w:t>合同约定</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法律咨询量</w:t>
            </w:r>
          </w:p>
        </w:tc>
        <w:tc>
          <w:tcPr>
            <w:tcW w:w="2831" w:type="dxa"/>
            <w:vAlign w:val="center"/>
          </w:tcPr>
          <w:p>
            <w:pPr>
              <w:pStyle w:val="16"/>
            </w:pPr>
            <w:r>
              <w:t>考察本项目合同年度法律咨询量</w:t>
            </w:r>
          </w:p>
        </w:tc>
        <w:tc>
          <w:tcPr>
            <w:tcW w:w="2101" w:type="dxa"/>
            <w:vAlign w:val="center"/>
          </w:tcPr>
          <w:p>
            <w:pPr>
              <w:pStyle w:val="16"/>
            </w:pPr>
            <w:r>
              <w:t>≥100件</w:t>
            </w:r>
          </w:p>
        </w:tc>
        <w:tc>
          <w:tcPr>
            <w:tcW w:w="2466" w:type="dxa"/>
            <w:vAlign w:val="center"/>
          </w:tcPr>
          <w:p>
            <w:pPr>
              <w:pStyle w:val="16"/>
            </w:pPr>
            <w:r>
              <w:t>工作实际情况</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文件审核量</w:t>
            </w:r>
          </w:p>
        </w:tc>
        <w:tc>
          <w:tcPr>
            <w:tcW w:w="2831" w:type="dxa"/>
            <w:vAlign w:val="center"/>
          </w:tcPr>
          <w:p>
            <w:pPr>
              <w:pStyle w:val="16"/>
            </w:pPr>
            <w:r>
              <w:t>考察本项目合同年度文件审核数量</w:t>
            </w:r>
          </w:p>
        </w:tc>
        <w:tc>
          <w:tcPr>
            <w:tcW w:w="2101" w:type="dxa"/>
            <w:vAlign w:val="center"/>
          </w:tcPr>
          <w:p>
            <w:pPr>
              <w:pStyle w:val="16"/>
            </w:pPr>
            <w:r>
              <w:t>≥100件</w:t>
            </w:r>
          </w:p>
        </w:tc>
        <w:tc>
          <w:tcPr>
            <w:tcW w:w="2466" w:type="dxa"/>
            <w:vAlign w:val="center"/>
          </w:tcPr>
          <w:p>
            <w:pPr>
              <w:pStyle w:val="16"/>
            </w:pPr>
            <w:r>
              <w:t>工作实际情况</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高质量解决法律疑问率</w:t>
            </w:r>
          </w:p>
        </w:tc>
        <w:tc>
          <w:tcPr>
            <w:tcW w:w="2831" w:type="dxa"/>
            <w:vAlign w:val="center"/>
          </w:tcPr>
          <w:p>
            <w:pPr>
              <w:pStyle w:val="16"/>
            </w:pPr>
            <w:r>
              <w:t>高质量解决法律疑问数量/解决法律问题总数量*100%</w:t>
            </w:r>
          </w:p>
        </w:tc>
        <w:tc>
          <w:tcPr>
            <w:tcW w:w="2101" w:type="dxa"/>
            <w:vAlign w:val="center"/>
          </w:tcPr>
          <w:p>
            <w:pPr>
              <w:pStyle w:val="16"/>
            </w:pPr>
            <w:r>
              <w:t>≥90%</w:t>
            </w:r>
          </w:p>
        </w:tc>
        <w:tc>
          <w:tcPr>
            <w:tcW w:w="2466" w:type="dxa"/>
            <w:vAlign w:val="center"/>
          </w:tcPr>
          <w:p>
            <w:pPr>
              <w:pStyle w:val="16"/>
            </w:pPr>
            <w:r>
              <w:t>合同约定</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法律咨询受理时效</w:t>
            </w:r>
          </w:p>
        </w:tc>
        <w:tc>
          <w:tcPr>
            <w:tcW w:w="2831" w:type="dxa"/>
            <w:vAlign w:val="center"/>
          </w:tcPr>
          <w:p>
            <w:pPr>
              <w:pStyle w:val="16"/>
            </w:pPr>
            <w:r>
              <w:t>反映每次法律咨询受理时效</w:t>
            </w:r>
          </w:p>
        </w:tc>
        <w:tc>
          <w:tcPr>
            <w:tcW w:w="2101" w:type="dxa"/>
            <w:vAlign w:val="center"/>
          </w:tcPr>
          <w:p>
            <w:pPr>
              <w:pStyle w:val="16"/>
            </w:pPr>
            <w:r>
              <w:t>≤1天</w:t>
            </w:r>
          </w:p>
        </w:tc>
        <w:tc>
          <w:tcPr>
            <w:tcW w:w="2466" w:type="dxa"/>
            <w:vAlign w:val="center"/>
          </w:tcPr>
          <w:p>
            <w:pPr>
              <w:pStyle w:val="16"/>
            </w:pPr>
            <w:r>
              <w:t>合同约定</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文件审核时效</w:t>
            </w:r>
          </w:p>
        </w:tc>
        <w:tc>
          <w:tcPr>
            <w:tcW w:w="2831" w:type="dxa"/>
            <w:vAlign w:val="center"/>
          </w:tcPr>
          <w:p>
            <w:pPr>
              <w:pStyle w:val="16"/>
            </w:pPr>
            <w:r>
              <w:t>反映每件文件审核时效</w:t>
            </w:r>
          </w:p>
        </w:tc>
        <w:tc>
          <w:tcPr>
            <w:tcW w:w="2101" w:type="dxa"/>
            <w:vAlign w:val="center"/>
          </w:tcPr>
          <w:p>
            <w:pPr>
              <w:pStyle w:val="16"/>
            </w:pPr>
            <w:r>
              <w:t>≤1天</w:t>
            </w:r>
          </w:p>
        </w:tc>
        <w:tc>
          <w:tcPr>
            <w:tcW w:w="2466" w:type="dxa"/>
            <w:vAlign w:val="center"/>
          </w:tcPr>
          <w:p>
            <w:pPr>
              <w:pStyle w:val="16"/>
            </w:pPr>
            <w:r>
              <w:t>合同约定</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月服务费用</w:t>
            </w:r>
          </w:p>
        </w:tc>
        <w:tc>
          <w:tcPr>
            <w:tcW w:w="2831" w:type="dxa"/>
            <w:vAlign w:val="center"/>
          </w:tcPr>
          <w:p>
            <w:pPr>
              <w:pStyle w:val="16"/>
            </w:pPr>
            <w:r>
              <w:t>反映法律咨询服务月服务费用</w:t>
            </w:r>
          </w:p>
        </w:tc>
        <w:tc>
          <w:tcPr>
            <w:tcW w:w="2101" w:type="dxa"/>
            <w:vAlign w:val="center"/>
          </w:tcPr>
          <w:p>
            <w:pPr>
              <w:pStyle w:val="16"/>
            </w:pPr>
            <w:r>
              <w:t>≤5万元</w:t>
            </w:r>
          </w:p>
        </w:tc>
        <w:tc>
          <w:tcPr>
            <w:tcW w:w="2466" w:type="dxa"/>
            <w:vAlign w:val="center"/>
          </w:tcPr>
          <w:p>
            <w:pPr>
              <w:pStyle w:val="16"/>
            </w:pPr>
            <w:r>
              <w:t>合同约定</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管委会文件合法合规性</w:t>
            </w:r>
          </w:p>
        </w:tc>
        <w:tc>
          <w:tcPr>
            <w:tcW w:w="2831" w:type="dxa"/>
            <w:vAlign w:val="center"/>
          </w:tcPr>
          <w:p>
            <w:pPr>
              <w:pStyle w:val="16"/>
            </w:pPr>
            <w:r>
              <w:t>提高管委会文件合法合规性</w:t>
            </w:r>
          </w:p>
        </w:tc>
        <w:tc>
          <w:tcPr>
            <w:tcW w:w="2101" w:type="dxa"/>
            <w:vAlign w:val="center"/>
          </w:tcPr>
          <w:p>
            <w:pPr>
              <w:pStyle w:val="16"/>
            </w:pPr>
            <w:r>
              <w:t>有效提高</w:t>
            </w:r>
          </w:p>
        </w:tc>
        <w:tc>
          <w:tcPr>
            <w:tcW w:w="2466" w:type="dxa"/>
            <w:vAlign w:val="center"/>
          </w:tcPr>
          <w:p>
            <w:pPr>
              <w:pStyle w:val="16"/>
            </w:pPr>
            <w:r>
              <w:t>工作成果</w:t>
            </w:r>
          </w:p>
        </w:tc>
      </w:tr>
      <w:tr>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节约成本</w:t>
            </w:r>
          </w:p>
        </w:tc>
        <w:tc>
          <w:tcPr>
            <w:tcW w:w="2831" w:type="dxa"/>
            <w:vAlign w:val="center"/>
          </w:tcPr>
          <w:p>
            <w:pPr>
              <w:pStyle w:val="16"/>
            </w:pPr>
            <w:r>
              <w:t>集中采购有利于成本节约</w:t>
            </w:r>
          </w:p>
        </w:tc>
        <w:tc>
          <w:tcPr>
            <w:tcW w:w="2101" w:type="dxa"/>
            <w:vAlign w:val="center"/>
          </w:tcPr>
          <w:p>
            <w:pPr>
              <w:pStyle w:val="16"/>
            </w:pPr>
            <w:r>
              <w:t>成本节约</w:t>
            </w:r>
          </w:p>
        </w:tc>
        <w:tc>
          <w:tcPr>
            <w:tcW w:w="2466" w:type="dxa"/>
            <w:vAlign w:val="center"/>
          </w:tcPr>
          <w:p>
            <w:pPr>
              <w:pStyle w:val="16"/>
            </w:pPr>
            <w:r>
              <w:t>实际情况</w:t>
            </w:r>
          </w:p>
        </w:tc>
      </w:tr>
      <w:tr>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保证合同中管委会整体权益</w:t>
            </w:r>
          </w:p>
        </w:tc>
        <w:tc>
          <w:tcPr>
            <w:tcW w:w="2831" w:type="dxa"/>
            <w:vAlign w:val="center"/>
          </w:tcPr>
          <w:p>
            <w:pPr>
              <w:pStyle w:val="16"/>
            </w:pPr>
            <w:r>
              <w:t>保证合同中管委会整体权益</w:t>
            </w:r>
          </w:p>
        </w:tc>
        <w:tc>
          <w:tcPr>
            <w:tcW w:w="2101" w:type="dxa"/>
            <w:vAlign w:val="center"/>
          </w:tcPr>
          <w:p>
            <w:pPr>
              <w:pStyle w:val="16"/>
            </w:pPr>
            <w:r>
              <w:t>有效提高</w:t>
            </w:r>
          </w:p>
        </w:tc>
        <w:tc>
          <w:tcPr>
            <w:tcW w:w="2466" w:type="dxa"/>
            <w:vAlign w:val="center"/>
          </w:tcPr>
          <w:p>
            <w:pPr>
              <w:pStyle w:val="16"/>
            </w:pPr>
            <w:r>
              <w:t>工作成果</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环境保护</w:t>
            </w:r>
          </w:p>
        </w:tc>
        <w:tc>
          <w:tcPr>
            <w:tcW w:w="2831" w:type="dxa"/>
            <w:vAlign w:val="center"/>
          </w:tcPr>
          <w:p>
            <w:pPr>
              <w:pStyle w:val="16"/>
            </w:pPr>
            <w:r>
              <w:t>集中采购有利于环境保护</w:t>
            </w:r>
          </w:p>
        </w:tc>
        <w:tc>
          <w:tcPr>
            <w:tcW w:w="2101" w:type="dxa"/>
            <w:vAlign w:val="center"/>
          </w:tcPr>
          <w:p>
            <w:pPr>
              <w:pStyle w:val="16"/>
            </w:pPr>
            <w:r>
              <w:t>保护环境</w:t>
            </w:r>
          </w:p>
        </w:tc>
        <w:tc>
          <w:tcPr>
            <w:tcW w:w="2466" w:type="dxa"/>
            <w:vAlign w:val="center"/>
          </w:tcPr>
          <w:p>
            <w:pPr>
              <w:pStyle w:val="16"/>
            </w:pPr>
            <w:r>
              <w:t>实际情况</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使用人满意度</w:t>
            </w:r>
          </w:p>
        </w:tc>
        <w:tc>
          <w:tcPr>
            <w:tcW w:w="2831" w:type="dxa"/>
            <w:vAlign w:val="center"/>
          </w:tcPr>
          <w:p>
            <w:pPr>
              <w:pStyle w:val="16"/>
            </w:pPr>
            <w:r>
              <w:t>反映法律咨询服务项目使用人满意度</w:t>
            </w:r>
          </w:p>
        </w:tc>
        <w:tc>
          <w:tcPr>
            <w:tcW w:w="2101" w:type="dxa"/>
            <w:vAlign w:val="center"/>
          </w:tcPr>
          <w:p>
            <w:pPr>
              <w:pStyle w:val="16"/>
            </w:pPr>
            <w:r>
              <w:t>≥95%</w:t>
            </w:r>
          </w:p>
        </w:tc>
        <w:tc>
          <w:tcPr>
            <w:tcW w:w="2466" w:type="dxa"/>
            <w:vAlign w:val="center"/>
          </w:tcPr>
          <w:p>
            <w:pPr>
              <w:pStyle w:val="16"/>
            </w:pPr>
            <w:r>
              <w:t>实际情况</w:t>
            </w:r>
          </w:p>
          <w:p>
            <w:pPr>
              <w:pStyle w:val="16"/>
            </w:pPr>
            <w:r>
              <w:t>保障服务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51、干部培训经费绩效目标表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1.通过干部培训工作的开展，不断提高临空经济区干部队伍综合素质。</w:t>
            </w:r>
          </w:p>
          <w:p>
            <w:pPr>
              <w:pStyle w:val="16"/>
            </w:pPr>
            <w:r>
              <w:t>2.通过干部培训工作的开展，不断提高临空经济区干部队伍综合素质。</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外出培训场次</w:t>
            </w:r>
          </w:p>
        </w:tc>
        <w:tc>
          <w:tcPr>
            <w:tcW w:w="2835" w:type="dxa"/>
            <w:vAlign w:val="center"/>
          </w:tcPr>
          <w:p>
            <w:pPr>
              <w:pStyle w:val="16"/>
            </w:pPr>
            <w:r>
              <w:t>外出培训场次</w:t>
            </w:r>
          </w:p>
        </w:tc>
        <w:tc>
          <w:tcPr>
            <w:tcW w:w="2551" w:type="dxa"/>
            <w:vAlign w:val="center"/>
          </w:tcPr>
          <w:p>
            <w:pPr>
              <w:pStyle w:val="16"/>
            </w:pPr>
            <w:r>
              <w:t>4场</w:t>
            </w:r>
          </w:p>
        </w:tc>
        <w:tc>
          <w:tcPr>
            <w:tcW w:w="2268" w:type="dxa"/>
            <w:vAlign w:val="center"/>
          </w:tcPr>
          <w:p>
            <w:pPr>
              <w:pStyle w:val="16"/>
            </w:pPr>
            <w:r>
              <w:t>培训计划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外出培训人次</w:t>
            </w:r>
          </w:p>
        </w:tc>
        <w:tc>
          <w:tcPr>
            <w:tcW w:w="2835" w:type="dxa"/>
            <w:vAlign w:val="center"/>
          </w:tcPr>
          <w:p>
            <w:pPr>
              <w:pStyle w:val="16"/>
            </w:pPr>
            <w:r>
              <w:t>外出培训人次</w:t>
            </w:r>
          </w:p>
        </w:tc>
        <w:tc>
          <w:tcPr>
            <w:tcW w:w="2551" w:type="dxa"/>
            <w:vAlign w:val="center"/>
          </w:tcPr>
          <w:p>
            <w:pPr>
              <w:pStyle w:val="16"/>
            </w:pPr>
            <w:r>
              <w:t>≥104人次</w:t>
            </w:r>
          </w:p>
        </w:tc>
        <w:tc>
          <w:tcPr>
            <w:tcW w:w="2268" w:type="dxa"/>
            <w:vAlign w:val="center"/>
          </w:tcPr>
          <w:p>
            <w:pPr>
              <w:pStyle w:val="16"/>
            </w:pPr>
            <w:r>
              <w:t>培训计划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常规培训场次</w:t>
            </w:r>
          </w:p>
        </w:tc>
        <w:tc>
          <w:tcPr>
            <w:tcW w:w="2835" w:type="dxa"/>
            <w:vAlign w:val="center"/>
          </w:tcPr>
          <w:p>
            <w:pPr>
              <w:pStyle w:val="16"/>
            </w:pPr>
            <w:r>
              <w:t>常规培训场次</w:t>
            </w:r>
          </w:p>
        </w:tc>
        <w:tc>
          <w:tcPr>
            <w:tcW w:w="2551" w:type="dxa"/>
            <w:vAlign w:val="center"/>
          </w:tcPr>
          <w:p>
            <w:pPr>
              <w:pStyle w:val="16"/>
            </w:pPr>
            <w:r>
              <w:t>≥11场</w:t>
            </w:r>
          </w:p>
        </w:tc>
        <w:tc>
          <w:tcPr>
            <w:tcW w:w="2268" w:type="dxa"/>
            <w:vAlign w:val="center"/>
          </w:tcPr>
          <w:p>
            <w:pPr>
              <w:pStyle w:val="16"/>
            </w:pPr>
            <w:r>
              <w:t>培训计划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培训合格人数占培训总人数的比例</w:t>
            </w:r>
          </w:p>
        </w:tc>
        <w:tc>
          <w:tcPr>
            <w:tcW w:w="2551" w:type="dxa"/>
            <w:vAlign w:val="center"/>
          </w:tcPr>
          <w:p>
            <w:pPr>
              <w:pStyle w:val="16"/>
            </w:pPr>
            <w:r>
              <w:t>≥90%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外出培训天数（天）</w:t>
            </w:r>
          </w:p>
        </w:tc>
        <w:tc>
          <w:tcPr>
            <w:tcW w:w="2835" w:type="dxa"/>
            <w:vAlign w:val="center"/>
          </w:tcPr>
          <w:p>
            <w:pPr>
              <w:pStyle w:val="16"/>
            </w:pPr>
            <w:r>
              <w:t>每次外出培训持续天数</w:t>
            </w:r>
          </w:p>
        </w:tc>
        <w:tc>
          <w:tcPr>
            <w:tcW w:w="2551" w:type="dxa"/>
            <w:vAlign w:val="center"/>
          </w:tcPr>
          <w:p>
            <w:pPr>
              <w:pStyle w:val="16"/>
            </w:pPr>
            <w:r>
              <w:t>≥2天</w:t>
            </w:r>
          </w:p>
        </w:tc>
        <w:tc>
          <w:tcPr>
            <w:tcW w:w="2268" w:type="dxa"/>
            <w:vAlign w:val="center"/>
          </w:tcPr>
          <w:p>
            <w:pPr>
              <w:pStyle w:val="16"/>
            </w:pPr>
            <w:r>
              <w:t>培训计划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培训费用标准</w:t>
            </w:r>
          </w:p>
        </w:tc>
        <w:tc>
          <w:tcPr>
            <w:tcW w:w="2835" w:type="dxa"/>
            <w:vAlign w:val="center"/>
          </w:tcPr>
          <w:p>
            <w:pPr>
              <w:pStyle w:val="16"/>
            </w:pPr>
            <w:r>
              <w:t>处级培训费用标准</w:t>
            </w:r>
          </w:p>
        </w:tc>
        <w:tc>
          <w:tcPr>
            <w:tcW w:w="2551" w:type="dxa"/>
            <w:vAlign w:val="center"/>
          </w:tcPr>
          <w:p>
            <w:pPr>
              <w:pStyle w:val="16"/>
            </w:pPr>
            <w:r>
              <w:t>≤0.06万元/人天</w:t>
            </w:r>
          </w:p>
        </w:tc>
        <w:tc>
          <w:tcPr>
            <w:tcW w:w="2268" w:type="dxa"/>
            <w:vAlign w:val="center"/>
          </w:tcPr>
          <w:p>
            <w:pPr>
              <w:pStyle w:val="16"/>
            </w:pPr>
            <w:r>
              <w:t>政策文件</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培训费用标准</w:t>
            </w:r>
          </w:p>
        </w:tc>
        <w:tc>
          <w:tcPr>
            <w:tcW w:w="2835" w:type="dxa"/>
            <w:vAlign w:val="center"/>
          </w:tcPr>
          <w:p>
            <w:pPr>
              <w:pStyle w:val="16"/>
            </w:pPr>
            <w:r>
              <w:t>科级培训费用标准</w:t>
            </w:r>
          </w:p>
        </w:tc>
        <w:tc>
          <w:tcPr>
            <w:tcW w:w="2551" w:type="dxa"/>
            <w:vAlign w:val="center"/>
          </w:tcPr>
          <w:p>
            <w:pPr>
              <w:pStyle w:val="16"/>
            </w:pPr>
            <w:r>
              <w:t>≤0.05万元/人天</w:t>
            </w:r>
          </w:p>
        </w:tc>
        <w:tc>
          <w:tcPr>
            <w:tcW w:w="2268" w:type="dxa"/>
            <w:vAlign w:val="center"/>
          </w:tcPr>
          <w:p>
            <w:pPr>
              <w:pStyle w:val="16"/>
            </w:pPr>
            <w:r>
              <w:t>政策文件</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节约成本</w:t>
            </w:r>
          </w:p>
        </w:tc>
        <w:tc>
          <w:tcPr>
            <w:tcW w:w="2835" w:type="dxa"/>
            <w:vAlign w:val="center"/>
          </w:tcPr>
          <w:p>
            <w:pPr>
              <w:pStyle w:val="16"/>
            </w:pPr>
            <w:r>
              <w:t>集中采购有利于成本节约</w:t>
            </w:r>
          </w:p>
        </w:tc>
        <w:tc>
          <w:tcPr>
            <w:tcW w:w="2551" w:type="dxa"/>
            <w:vAlign w:val="center"/>
          </w:tcPr>
          <w:p>
            <w:pPr>
              <w:pStyle w:val="16"/>
            </w:pPr>
            <w:r>
              <w:t>成本节约</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受训学员业务应用情况</w:t>
            </w:r>
          </w:p>
        </w:tc>
        <w:tc>
          <w:tcPr>
            <w:tcW w:w="2835" w:type="dxa"/>
            <w:vAlign w:val="center"/>
          </w:tcPr>
          <w:p>
            <w:pPr>
              <w:pStyle w:val="16"/>
            </w:pPr>
            <w:r>
              <w:t>受训学员业务应用情况</w:t>
            </w:r>
          </w:p>
        </w:tc>
        <w:tc>
          <w:tcPr>
            <w:tcW w:w="2551" w:type="dxa"/>
            <w:vAlign w:val="center"/>
          </w:tcPr>
          <w:p>
            <w:pPr>
              <w:pStyle w:val="16"/>
            </w:pPr>
            <w:r>
              <w:t>帮助提升综合素质，提高业务能力</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环境保护</w:t>
            </w:r>
          </w:p>
        </w:tc>
        <w:tc>
          <w:tcPr>
            <w:tcW w:w="2835" w:type="dxa"/>
            <w:vAlign w:val="center"/>
          </w:tcPr>
          <w:p>
            <w:pPr>
              <w:pStyle w:val="16"/>
            </w:pPr>
            <w:r>
              <w:t>集中采购有利于环境保护</w:t>
            </w:r>
          </w:p>
        </w:tc>
        <w:tc>
          <w:tcPr>
            <w:tcW w:w="2551" w:type="dxa"/>
            <w:vAlign w:val="center"/>
          </w:tcPr>
          <w:p>
            <w:pPr>
              <w:pStyle w:val="16"/>
            </w:pPr>
            <w:r>
              <w:t>保护环境</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持续保障供应</w:t>
            </w:r>
          </w:p>
        </w:tc>
        <w:tc>
          <w:tcPr>
            <w:tcW w:w="2835" w:type="dxa"/>
            <w:vAlign w:val="center"/>
          </w:tcPr>
          <w:p>
            <w:pPr>
              <w:pStyle w:val="16"/>
            </w:pPr>
            <w:r>
              <w:t>持续保障供应</w:t>
            </w:r>
          </w:p>
        </w:tc>
        <w:tc>
          <w:tcPr>
            <w:tcW w:w="2551" w:type="dxa"/>
            <w:vAlign w:val="center"/>
          </w:tcPr>
          <w:p>
            <w:pPr>
              <w:pStyle w:val="16"/>
            </w:pPr>
            <w:r>
              <w:t>持续性</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受训学员满意度</w:t>
            </w:r>
          </w:p>
        </w:tc>
        <w:tc>
          <w:tcPr>
            <w:tcW w:w="2835" w:type="dxa"/>
            <w:vAlign w:val="center"/>
          </w:tcPr>
          <w:p>
            <w:pPr>
              <w:pStyle w:val="16"/>
            </w:pPr>
            <w:r>
              <w:t>受训学员满意度</w:t>
            </w:r>
          </w:p>
        </w:tc>
        <w:tc>
          <w:tcPr>
            <w:tcW w:w="2551" w:type="dxa"/>
            <w:vAlign w:val="center"/>
          </w:tcPr>
          <w:p>
            <w:pPr>
              <w:pStyle w:val="16"/>
            </w:pPr>
            <w:r>
              <w:t>≥90%</w:t>
            </w:r>
          </w:p>
        </w:tc>
        <w:tc>
          <w:tcPr>
            <w:tcW w:w="2268" w:type="dxa"/>
            <w:vAlign w:val="center"/>
          </w:tcPr>
          <w:p>
            <w:pPr>
              <w:pStyle w:val="16"/>
            </w:pPr>
            <w:r>
              <w:t>实际情况</w:t>
            </w:r>
          </w:p>
          <w:p>
            <w:pPr>
              <w:pStyle w:val="16"/>
            </w:pPr>
            <w:r>
              <w:t>保障服务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52、高端制造产业园区基础设施建设项目工程前期费绩效目标表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1.通过该项目的实施确保2022年北京大兴国际机场临空经济区（廊坊）专项债券项目成功申报，提升区域社会影响力、区域价值，促进区域基础设施建设顺利开展。</w:t>
            </w:r>
          </w:p>
          <w:p>
            <w:pPr>
              <w:pStyle w:val="16"/>
            </w:pPr>
            <w:r>
              <w:t>2.河北省2022年专项债券提前批申请工作迫在眉睫，项目实施后将为北京大兴国际机场临空经济区（廊坊）基础建设项目专项债券申报工作提供支持，为确保工程顺利实施，急需费用落实该项目。</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协调推进项目数量</w:t>
            </w:r>
          </w:p>
        </w:tc>
        <w:tc>
          <w:tcPr>
            <w:tcW w:w="2835" w:type="dxa"/>
            <w:vAlign w:val="center"/>
          </w:tcPr>
          <w:p>
            <w:pPr>
              <w:pStyle w:val="16"/>
            </w:pPr>
            <w:r>
              <w:t>协调推进项目数量</w:t>
            </w:r>
          </w:p>
        </w:tc>
        <w:tc>
          <w:tcPr>
            <w:tcW w:w="2551" w:type="dxa"/>
            <w:vAlign w:val="center"/>
          </w:tcPr>
          <w:p>
            <w:pPr>
              <w:pStyle w:val="16"/>
            </w:pPr>
            <w:r>
              <w:t>2个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评估报告数量</w:t>
            </w:r>
          </w:p>
        </w:tc>
        <w:tc>
          <w:tcPr>
            <w:tcW w:w="2835" w:type="dxa"/>
            <w:vAlign w:val="center"/>
          </w:tcPr>
          <w:p>
            <w:pPr>
              <w:pStyle w:val="16"/>
            </w:pPr>
            <w:r>
              <w:t>反映形成评估报告数量</w:t>
            </w:r>
          </w:p>
        </w:tc>
        <w:tc>
          <w:tcPr>
            <w:tcW w:w="2551" w:type="dxa"/>
            <w:vAlign w:val="center"/>
          </w:tcPr>
          <w:p>
            <w:pPr>
              <w:pStyle w:val="16"/>
            </w:pPr>
            <w:r>
              <w:t>2个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取得主管部门批复</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反映项目完成时间</w:t>
            </w:r>
          </w:p>
        </w:tc>
        <w:tc>
          <w:tcPr>
            <w:tcW w:w="2551" w:type="dxa"/>
            <w:vAlign w:val="center"/>
          </w:tcPr>
          <w:p>
            <w:pPr>
              <w:pStyle w:val="16"/>
            </w:pPr>
            <w:r>
              <w:t>2022年1月</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项目预算控制率</w:t>
            </w:r>
          </w:p>
        </w:tc>
        <w:tc>
          <w:tcPr>
            <w:tcW w:w="2835" w:type="dxa"/>
            <w:vAlign w:val="center"/>
          </w:tcPr>
          <w:p>
            <w:pPr>
              <w:pStyle w:val="16"/>
            </w:pPr>
            <w:r>
              <w:t>实际项目成本/项目预算数*100%</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促进区域基础设施建设顺利开展</w:t>
            </w:r>
          </w:p>
        </w:tc>
        <w:tc>
          <w:tcPr>
            <w:tcW w:w="2835" w:type="dxa"/>
            <w:vAlign w:val="center"/>
          </w:tcPr>
          <w:p>
            <w:pPr>
              <w:pStyle w:val="16"/>
            </w:pPr>
            <w:r>
              <w:t>通过本项目带动专项债券落地，促进区域基础设施建设顺利开展</w:t>
            </w:r>
          </w:p>
        </w:tc>
        <w:tc>
          <w:tcPr>
            <w:tcW w:w="2551" w:type="dxa"/>
            <w:vAlign w:val="center"/>
          </w:tcPr>
          <w:p>
            <w:pPr>
              <w:pStyle w:val="16"/>
            </w:pPr>
            <w:r>
              <w:t>促进开发建设</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带动临空区经济发展</w:t>
            </w:r>
          </w:p>
        </w:tc>
        <w:tc>
          <w:tcPr>
            <w:tcW w:w="2835" w:type="dxa"/>
            <w:vAlign w:val="center"/>
          </w:tcPr>
          <w:p>
            <w:pPr>
              <w:pStyle w:val="16"/>
            </w:pPr>
            <w:r>
              <w:t>通过本项目促进专项债券落地，带动临空区经济发展</w:t>
            </w:r>
          </w:p>
        </w:tc>
        <w:tc>
          <w:tcPr>
            <w:tcW w:w="2551" w:type="dxa"/>
            <w:vAlign w:val="center"/>
          </w:tcPr>
          <w:p>
            <w:pPr>
              <w:pStyle w:val="16"/>
            </w:pPr>
            <w:r>
              <w:t>带动经济发展</w:t>
            </w:r>
          </w:p>
        </w:tc>
        <w:tc>
          <w:tcPr>
            <w:tcW w:w="2268" w:type="dxa"/>
            <w:vAlign w:val="center"/>
          </w:tcPr>
          <w:p>
            <w:pPr>
              <w:pStyle w:val="16"/>
            </w:pPr>
            <w:r>
              <w:t>工作要求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调查问卷满意人数/调查问卷总人数*100%</w:t>
            </w:r>
          </w:p>
        </w:tc>
        <w:tc>
          <w:tcPr>
            <w:tcW w:w="2551" w:type="dxa"/>
            <w:vAlign w:val="center"/>
          </w:tcPr>
          <w:p>
            <w:pPr>
              <w:pStyle w:val="16"/>
            </w:pPr>
            <w:r>
              <w:t>≥95%</w:t>
            </w:r>
          </w:p>
        </w:tc>
        <w:tc>
          <w:tcPr>
            <w:tcW w:w="2268" w:type="dxa"/>
            <w:vAlign w:val="center"/>
          </w:tcPr>
          <w:p>
            <w:pPr>
              <w:pStyle w:val="16"/>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53、耕地进出平衡及耕地流出整改服务项目绩效目标表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严格落实耕地保护任务,严守18亿亩耕地红线，严控耕地用途管制、保障粮食安全。在临空经济区内对2023年耕地流出问题进行全面排查整改，坚决纠正各类违法违规占用耕地行为，稳妥有序推进土地复耕。</w:t>
            </w:r>
          </w:p>
          <w:p>
            <w:pPr>
              <w:pStyle w:val="16"/>
            </w:pPr>
            <w:r>
              <w:t>2.通过项目的开展，完成编制廊坊临空经济区耕地进出平衡年度方案不少于100平方公里、耕地进出图斑总数量不少于2370个，图斑验收合格率达到100%，及时编制耕地进出平衡方案，成本控制在预算范围内，确保长期稳定的耕地不再减少，保障国家粮食安全。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编制廊坊临空经济区耕地进出平衡年度方案</w:t>
            </w:r>
          </w:p>
        </w:tc>
        <w:tc>
          <w:tcPr>
            <w:tcW w:w="2835" w:type="dxa"/>
            <w:vAlign w:val="center"/>
          </w:tcPr>
          <w:p>
            <w:pPr>
              <w:pStyle w:val="16"/>
            </w:pPr>
            <w:r>
              <w:t>根据耕地进出平衡需求编制实施方案</w:t>
            </w:r>
          </w:p>
        </w:tc>
        <w:tc>
          <w:tcPr>
            <w:tcW w:w="2551" w:type="dxa"/>
            <w:vAlign w:val="center"/>
          </w:tcPr>
          <w:p>
            <w:pPr>
              <w:pStyle w:val="16"/>
            </w:pPr>
            <w:r>
              <w:t>≥2个</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方案合格</w:t>
            </w:r>
          </w:p>
        </w:tc>
        <w:tc>
          <w:tcPr>
            <w:tcW w:w="2835" w:type="dxa"/>
            <w:vAlign w:val="center"/>
          </w:tcPr>
          <w:p>
            <w:pPr>
              <w:pStyle w:val="16"/>
            </w:pPr>
            <w:r>
              <w:t>方案满足实施进出平衡工作需要</w:t>
            </w:r>
          </w:p>
        </w:tc>
        <w:tc>
          <w:tcPr>
            <w:tcW w:w="2551" w:type="dxa"/>
            <w:vAlign w:val="center"/>
          </w:tcPr>
          <w:p>
            <w:pPr>
              <w:pStyle w:val="16"/>
            </w:pPr>
            <w:r>
              <w:t>100%</w:t>
            </w:r>
          </w:p>
        </w:tc>
        <w:tc>
          <w:tcPr>
            <w:tcW w:w="2268" w:type="dxa"/>
            <w:vAlign w:val="center"/>
          </w:tcPr>
          <w:p>
            <w:pPr>
              <w:pStyle w:val="16"/>
            </w:pPr>
            <w:r>
              <w:t>验收要求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编制耕地进出平衡方案及时性</w:t>
            </w:r>
          </w:p>
        </w:tc>
        <w:tc>
          <w:tcPr>
            <w:tcW w:w="2835" w:type="dxa"/>
            <w:vAlign w:val="center"/>
          </w:tcPr>
          <w:p>
            <w:pPr>
              <w:pStyle w:val="16"/>
            </w:pPr>
            <w:r>
              <w:t>考察编制方案及时性</w:t>
            </w:r>
          </w:p>
        </w:tc>
        <w:tc>
          <w:tcPr>
            <w:tcW w:w="2551" w:type="dxa"/>
            <w:vAlign w:val="center"/>
          </w:tcPr>
          <w:p>
            <w:pPr>
              <w:pStyle w:val="16"/>
            </w:pPr>
            <w:r>
              <w:t>及时</w:t>
            </w:r>
          </w:p>
        </w:tc>
        <w:tc>
          <w:tcPr>
            <w:tcW w:w="2268" w:type="dxa"/>
            <w:vAlign w:val="center"/>
          </w:tcPr>
          <w:p>
            <w:pPr>
              <w:pStyle w:val="16"/>
            </w:pPr>
            <w:r>
              <w:t>文件要求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成本不高于60万</w:t>
            </w:r>
          </w:p>
        </w:tc>
        <w:tc>
          <w:tcPr>
            <w:tcW w:w="2551" w:type="dxa"/>
            <w:vAlign w:val="center"/>
          </w:tcPr>
          <w:p>
            <w:pPr>
              <w:pStyle w:val="16"/>
            </w:pPr>
            <w:r>
              <w:t>≤60万元</w:t>
            </w:r>
          </w:p>
        </w:tc>
        <w:tc>
          <w:tcPr>
            <w:tcW w:w="2268" w:type="dxa"/>
            <w:vAlign w:val="center"/>
          </w:tcPr>
          <w:p>
            <w:pPr>
              <w:pStyle w:val="16"/>
            </w:pPr>
            <w:r>
              <w:t>历史价格</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指导耕地流入其他农用地整改</w:t>
            </w:r>
          </w:p>
        </w:tc>
        <w:tc>
          <w:tcPr>
            <w:tcW w:w="2835" w:type="dxa"/>
            <w:vAlign w:val="center"/>
          </w:tcPr>
          <w:p>
            <w:pPr>
              <w:pStyle w:val="16"/>
            </w:pPr>
            <w:r>
              <w:t>为耕地流入其他农用地整改提供技术支持</w:t>
            </w:r>
          </w:p>
        </w:tc>
        <w:tc>
          <w:tcPr>
            <w:tcW w:w="2551" w:type="dxa"/>
            <w:vAlign w:val="center"/>
          </w:tcPr>
          <w:p>
            <w:pPr>
              <w:pStyle w:val="16"/>
            </w:pPr>
            <w:r>
              <w:t>有效保障</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完成进出平衡任务</w:t>
            </w:r>
          </w:p>
        </w:tc>
        <w:tc>
          <w:tcPr>
            <w:tcW w:w="2835" w:type="dxa"/>
            <w:vAlign w:val="center"/>
          </w:tcPr>
          <w:p>
            <w:pPr>
              <w:pStyle w:val="16"/>
            </w:pPr>
            <w:r>
              <w:t>保障进出平衡工作顺利实施</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54、工程监督抽查抽测费绩效目标表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1.通过对房屋建筑和市政基础设施工程进行有计划的监督抽测，确保工程质量。</w:t>
            </w:r>
          </w:p>
          <w:p>
            <w:pPr>
              <w:pStyle w:val="16"/>
            </w:pPr>
            <w:r>
              <w:t>2.抽测钢筋原材220组（φ＜22mm，110组；Φ≥22mm，110组）；防水卷材24组；混凝土强度（钻芯法）30点；道路沥青面层厚度（钻芯法）130点；道路沥青压实度（钻芯法）130点；道路弯沉值（贝克曼梁）130点；窗户气密性10组；水稳压实度（灌砂法）90点；路面砖90组；保温板6组。</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500"/>
        <w:gridCol w:w="2243"/>
        <w:gridCol w:w="5072"/>
        <w:gridCol w:w="1778"/>
        <w:gridCol w:w="1737"/>
      </w:tblGrid>
      <w:tr>
        <w:trPr>
          <w:trHeight w:val="397" w:hRule="atLeast"/>
          <w:tblHeader/>
          <w:jc w:val="center"/>
        </w:trPr>
        <w:tc>
          <w:tcPr>
            <w:tcW w:w="2466" w:type="dxa"/>
            <w:vAlign w:val="center"/>
          </w:tcPr>
          <w:p>
            <w:pPr>
              <w:pStyle w:val="14"/>
            </w:pPr>
            <w:r>
              <w:t>一级指标</w:t>
            </w:r>
          </w:p>
        </w:tc>
        <w:tc>
          <w:tcPr>
            <w:tcW w:w="1500" w:type="dxa"/>
            <w:vAlign w:val="center"/>
          </w:tcPr>
          <w:p>
            <w:pPr>
              <w:pStyle w:val="14"/>
            </w:pPr>
            <w:r>
              <w:t>二级指标</w:t>
            </w:r>
          </w:p>
        </w:tc>
        <w:tc>
          <w:tcPr>
            <w:tcW w:w="2243" w:type="dxa"/>
            <w:vAlign w:val="center"/>
          </w:tcPr>
          <w:p>
            <w:pPr>
              <w:pStyle w:val="14"/>
            </w:pPr>
            <w:r>
              <w:t>三级指标</w:t>
            </w:r>
          </w:p>
        </w:tc>
        <w:tc>
          <w:tcPr>
            <w:tcW w:w="5072" w:type="dxa"/>
            <w:vAlign w:val="center"/>
          </w:tcPr>
          <w:p>
            <w:pPr>
              <w:pStyle w:val="14"/>
            </w:pPr>
            <w:r>
              <w:t>绩效指标描述</w:t>
            </w:r>
          </w:p>
        </w:tc>
        <w:tc>
          <w:tcPr>
            <w:tcW w:w="1778" w:type="dxa"/>
            <w:vAlign w:val="center"/>
          </w:tcPr>
          <w:p>
            <w:pPr>
              <w:pStyle w:val="14"/>
            </w:pPr>
            <w:r>
              <w:t>指标值</w:t>
            </w:r>
          </w:p>
        </w:tc>
        <w:tc>
          <w:tcPr>
            <w:tcW w:w="1737"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500" w:type="dxa"/>
            <w:vAlign w:val="center"/>
          </w:tcPr>
          <w:p>
            <w:pPr>
              <w:pStyle w:val="16"/>
            </w:pPr>
            <w:r>
              <w:t>数量指标</w:t>
            </w:r>
          </w:p>
        </w:tc>
        <w:tc>
          <w:tcPr>
            <w:tcW w:w="2243" w:type="dxa"/>
            <w:vAlign w:val="center"/>
          </w:tcPr>
          <w:p>
            <w:pPr>
              <w:pStyle w:val="16"/>
            </w:pPr>
            <w:r>
              <w:t>钢筋原材（Φ＜22）</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≥110组</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钢筋原材（Φ≥22）</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≥110组</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防水卷材</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≥24组</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混凝土强度（钻芯法）</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≥30点</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道路沥青面层厚度（钻芯法）</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≥130点</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道路沥青压实度（钻芯法）</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≥130点</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道路弯沉值（贝克曼梁）</w:t>
            </w:r>
          </w:p>
        </w:tc>
        <w:tc>
          <w:tcPr>
            <w:tcW w:w="5072" w:type="dxa"/>
            <w:vAlign w:val="center"/>
          </w:tcPr>
          <w:p>
            <w:pPr>
              <w:pStyle w:val="16"/>
            </w:pPr>
            <w:r>
              <w:t>根据工程监督抽查抽测费资金测算说明，得出计划监督抽测次数</w:t>
            </w:r>
          </w:p>
        </w:tc>
        <w:tc>
          <w:tcPr>
            <w:tcW w:w="1778" w:type="dxa"/>
            <w:vAlign w:val="center"/>
          </w:tcPr>
          <w:p>
            <w:pPr>
              <w:pStyle w:val="16"/>
            </w:pPr>
            <w:r>
              <w:t>≥130点</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质量指标</w:t>
            </w:r>
          </w:p>
        </w:tc>
        <w:tc>
          <w:tcPr>
            <w:tcW w:w="2243" w:type="dxa"/>
            <w:vAlign w:val="center"/>
          </w:tcPr>
          <w:p>
            <w:pPr>
              <w:pStyle w:val="16"/>
            </w:pPr>
            <w:r>
              <w:t>监督抽测覆盖率</w:t>
            </w:r>
          </w:p>
        </w:tc>
        <w:tc>
          <w:tcPr>
            <w:tcW w:w="5072" w:type="dxa"/>
            <w:vAlign w:val="center"/>
          </w:tcPr>
          <w:p>
            <w:pPr>
              <w:pStyle w:val="16"/>
            </w:pPr>
            <w:r>
              <w:t>被抽查工程覆盖数量/符合抽测条件工程总数*100%</w:t>
            </w:r>
          </w:p>
        </w:tc>
        <w:tc>
          <w:tcPr>
            <w:tcW w:w="1778" w:type="dxa"/>
            <w:vAlign w:val="center"/>
          </w:tcPr>
          <w:p>
            <w:pPr>
              <w:pStyle w:val="16"/>
            </w:pPr>
            <w:r>
              <w:t>≥80%</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窗户气密性</w:t>
            </w:r>
          </w:p>
        </w:tc>
        <w:tc>
          <w:tcPr>
            <w:tcW w:w="5072" w:type="dxa"/>
            <w:vAlign w:val="center"/>
          </w:tcPr>
          <w:p>
            <w:pPr>
              <w:pStyle w:val="16"/>
            </w:pPr>
            <w:r>
              <w:t>被抽查工程覆盖数量/符合抽测条件工程总数*100%</w:t>
            </w:r>
          </w:p>
        </w:tc>
        <w:tc>
          <w:tcPr>
            <w:tcW w:w="1778" w:type="dxa"/>
            <w:vAlign w:val="center"/>
          </w:tcPr>
          <w:p>
            <w:pPr>
              <w:pStyle w:val="16"/>
            </w:pPr>
            <w:r>
              <w:t>≥10樘</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水稳压实度（灌砂法）</w:t>
            </w:r>
          </w:p>
        </w:tc>
        <w:tc>
          <w:tcPr>
            <w:tcW w:w="5072" w:type="dxa"/>
            <w:vAlign w:val="center"/>
          </w:tcPr>
          <w:p>
            <w:pPr>
              <w:pStyle w:val="16"/>
            </w:pPr>
            <w:r>
              <w:t>被抽查工程覆盖数量/符合抽测条件工程总数*100%</w:t>
            </w:r>
          </w:p>
        </w:tc>
        <w:tc>
          <w:tcPr>
            <w:tcW w:w="1778" w:type="dxa"/>
            <w:vAlign w:val="center"/>
          </w:tcPr>
          <w:p>
            <w:pPr>
              <w:pStyle w:val="16"/>
            </w:pPr>
            <w:r>
              <w:t>≥90点</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保温板</w:t>
            </w:r>
          </w:p>
        </w:tc>
        <w:tc>
          <w:tcPr>
            <w:tcW w:w="5072" w:type="dxa"/>
            <w:vAlign w:val="center"/>
          </w:tcPr>
          <w:p>
            <w:pPr>
              <w:pStyle w:val="16"/>
            </w:pPr>
            <w:r>
              <w:t>被抽查工程覆盖数量/符合抽测条件工程总数*100%</w:t>
            </w:r>
          </w:p>
        </w:tc>
        <w:tc>
          <w:tcPr>
            <w:tcW w:w="1778" w:type="dxa"/>
            <w:vAlign w:val="center"/>
          </w:tcPr>
          <w:p>
            <w:pPr>
              <w:pStyle w:val="16"/>
            </w:pPr>
            <w:r>
              <w:t>≥6组</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数量指标</w:t>
            </w:r>
          </w:p>
        </w:tc>
        <w:tc>
          <w:tcPr>
            <w:tcW w:w="2243" w:type="dxa"/>
            <w:vAlign w:val="center"/>
          </w:tcPr>
          <w:p>
            <w:pPr>
              <w:pStyle w:val="16"/>
            </w:pPr>
            <w:r>
              <w:t>路面砖</w:t>
            </w:r>
          </w:p>
        </w:tc>
        <w:tc>
          <w:tcPr>
            <w:tcW w:w="5072" w:type="dxa"/>
            <w:vAlign w:val="center"/>
          </w:tcPr>
          <w:p>
            <w:pPr>
              <w:pStyle w:val="16"/>
            </w:pPr>
            <w:r>
              <w:t>被抽查工程覆盖数量/符合抽测条件工程总数*100%</w:t>
            </w:r>
          </w:p>
        </w:tc>
        <w:tc>
          <w:tcPr>
            <w:tcW w:w="1778" w:type="dxa"/>
            <w:vAlign w:val="center"/>
          </w:tcPr>
          <w:p>
            <w:pPr>
              <w:pStyle w:val="16"/>
            </w:pPr>
            <w:r>
              <w:t>≥90组</w:t>
            </w:r>
          </w:p>
        </w:tc>
        <w:tc>
          <w:tcPr>
            <w:tcW w:w="1737" w:type="dxa"/>
            <w:vAlign w:val="center"/>
          </w:tcPr>
          <w:p>
            <w:pPr>
              <w:pStyle w:val="16"/>
            </w:pPr>
            <w:r>
              <w:t>实际情况</w:t>
            </w:r>
          </w:p>
        </w:tc>
      </w:tr>
      <w:tr>
        <w:trPr>
          <w:trHeight w:val="397" w:hRule="atLeast"/>
          <w:jc w:val="center"/>
        </w:trPr>
        <w:tc>
          <w:tcPr>
            <w:tcW w:w="2466" w:type="dxa"/>
            <w:vMerge w:val="continue"/>
            <w:vAlign w:val="center"/>
          </w:tcPr>
          <w:p/>
        </w:tc>
        <w:tc>
          <w:tcPr>
            <w:tcW w:w="1500" w:type="dxa"/>
            <w:vAlign w:val="center"/>
          </w:tcPr>
          <w:p>
            <w:pPr>
              <w:pStyle w:val="16"/>
            </w:pPr>
            <w:r>
              <w:t>时效指标</w:t>
            </w:r>
          </w:p>
        </w:tc>
        <w:tc>
          <w:tcPr>
            <w:tcW w:w="2243" w:type="dxa"/>
            <w:vAlign w:val="center"/>
          </w:tcPr>
          <w:p>
            <w:pPr>
              <w:pStyle w:val="16"/>
            </w:pPr>
            <w:r>
              <w:t>项目完成及时性</w:t>
            </w:r>
          </w:p>
        </w:tc>
        <w:tc>
          <w:tcPr>
            <w:tcW w:w="5072" w:type="dxa"/>
            <w:vAlign w:val="center"/>
          </w:tcPr>
          <w:p>
            <w:pPr>
              <w:pStyle w:val="16"/>
            </w:pPr>
            <w:r>
              <w:t>考察项目是否于12月底前完成</w:t>
            </w:r>
          </w:p>
        </w:tc>
        <w:tc>
          <w:tcPr>
            <w:tcW w:w="1778" w:type="dxa"/>
            <w:vAlign w:val="center"/>
          </w:tcPr>
          <w:p>
            <w:pPr>
              <w:pStyle w:val="16"/>
            </w:pPr>
            <w:r>
              <w:t>及时</w:t>
            </w:r>
          </w:p>
        </w:tc>
        <w:tc>
          <w:tcPr>
            <w:tcW w:w="1737" w:type="dxa"/>
            <w:vAlign w:val="center"/>
          </w:tcPr>
          <w:p>
            <w:pPr>
              <w:pStyle w:val="16"/>
            </w:pPr>
            <w:r>
              <w:t>工作计划</w:t>
            </w:r>
          </w:p>
        </w:tc>
      </w:tr>
      <w:tr>
        <w:trPr>
          <w:trHeight w:val="397" w:hRule="atLeast"/>
          <w:jc w:val="center"/>
        </w:trPr>
        <w:tc>
          <w:tcPr>
            <w:tcW w:w="2466" w:type="dxa"/>
            <w:vMerge w:val="continue"/>
            <w:vAlign w:val="center"/>
          </w:tcPr>
          <w:p/>
        </w:tc>
        <w:tc>
          <w:tcPr>
            <w:tcW w:w="1500" w:type="dxa"/>
            <w:vAlign w:val="center"/>
          </w:tcPr>
          <w:p>
            <w:pPr>
              <w:pStyle w:val="16"/>
            </w:pPr>
            <w:r>
              <w:t>成本指标</w:t>
            </w:r>
          </w:p>
        </w:tc>
        <w:tc>
          <w:tcPr>
            <w:tcW w:w="2243" w:type="dxa"/>
            <w:vAlign w:val="center"/>
          </w:tcPr>
          <w:p>
            <w:pPr>
              <w:pStyle w:val="16"/>
            </w:pPr>
            <w:r>
              <w:t>监督抽测费用</w:t>
            </w:r>
          </w:p>
        </w:tc>
        <w:tc>
          <w:tcPr>
            <w:tcW w:w="5072" w:type="dxa"/>
            <w:vAlign w:val="center"/>
          </w:tcPr>
          <w:p>
            <w:pPr>
              <w:pStyle w:val="16"/>
            </w:pPr>
            <w:r>
              <w:t>监督抽测费用</w:t>
            </w:r>
          </w:p>
        </w:tc>
        <w:tc>
          <w:tcPr>
            <w:tcW w:w="1778" w:type="dxa"/>
            <w:vAlign w:val="center"/>
          </w:tcPr>
          <w:p>
            <w:pPr>
              <w:pStyle w:val="16"/>
            </w:pPr>
            <w:r>
              <w:t>≤50.27万元</w:t>
            </w:r>
          </w:p>
        </w:tc>
        <w:tc>
          <w:tcPr>
            <w:tcW w:w="1737" w:type="dxa"/>
            <w:vAlign w:val="center"/>
          </w:tcPr>
          <w:p>
            <w:pPr>
              <w:pStyle w:val="16"/>
            </w:pPr>
            <w:r>
              <w:t>实际情况</w:t>
            </w:r>
          </w:p>
        </w:tc>
      </w:tr>
      <w:tr>
        <w:trPr>
          <w:trHeight w:val="397" w:hRule="atLeast"/>
          <w:jc w:val="center"/>
        </w:trPr>
        <w:tc>
          <w:tcPr>
            <w:tcW w:w="2466" w:type="dxa"/>
            <w:vAlign w:val="center"/>
          </w:tcPr>
          <w:p>
            <w:pPr>
              <w:pStyle w:val="17"/>
            </w:pPr>
            <w:r>
              <w:t>效益指标</w:t>
            </w:r>
          </w:p>
        </w:tc>
        <w:tc>
          <w:tcPr>
            <w:tcW w:w="1500" w:type="dxa"/>
            <w:vAlign w:val="center"/>
          </w:tcPr>
          <w:p>
            <w:pPr>
              <w:pStyle w:val="16"/>
            </w:pPr>
            <w:r>
              <w:t>社会效益指标</w:t>
            </w:r>
          </w:p>
        </w:tc>
        <w:tc>
          <w:tcPr>
            <w:tcW w:w="2243" w:type="dxa"/>
            <w:vAlign w:val="center"/>
          </w:tcPr>
          <w:p>
            <w:pPr>
              <w:pStyle w:val="16"/>
            </w:pPr>
            <w:r>
              <w:t>营造稳定的社会环境</w:t>
            </w:r>
          </w:p>
        </w:tc>
        <w:tc>
          <w:tcPr>
            <w:tcW w:w="5072" w:type="dxa"/>
            <w:vAlign w:val="center"/>
          </w:tcPr>
          <w:p>
            <w:pPr>
              <w:pStyle w:val="16"/>
            </w:pPr>
            <w:r>
              <w:t>通过项目开展，保障工程质量</w:t>
            </w:r>
          </w:p>
        </w:tc>
        <w:tc>
          <w:tcPr>
            <w:tcW w:w="1778" w:type="dxa"/>
            <w:vAlign w:val="center"/>
          </w:tcPr>
          <w:p>
            <w:pPr>
              <w:pStyle w:val="16"/>
            </w:pPr>
            <w:r>
              <w:t>有效保障</w:t>
            </w:r>
          </w:p>
        </w:tc>
        <w:tc>
          <w:tcPr>
            <w:tcW w:w="1737" w:type="dxa"/>
            <w:vAlign w:val="center"/>
          </w:tcPr>
          <w:p>
            <w:pPr>
              <w:pStyle w:val="16"/>
            </w:pPr>
            <w:r>
              <w:t>实际情况</w:t>
            </w:r>
          </w:p>
        </w:tc>
      </w:tr>
      <w:tr>
        <w:trPr>
          <w:trHeight w:val="397" w:hRule="atLeast"/>
          <w:jc w:val="center"/>
        </w:trPr>
        <w:tc>
          <w:tcPr>
            <w:tcW w:w="2466" w:type="dxa"/>
            <w:vAlign w:val="center"/>
          </w:tcPr>
          <w:p>
            <w:pPr>
              <w:pStyle w:val="17"/>
            </w:pPr>
            <w:r>
              <w:t>满意度指标</w:t>
            </w:r>
          </w:p>
        </w:tc>
        <w:tc>
          <w:tcPr>
            <w:tcW w:w="1500" w:type="dxa"/>
            <w:vAlign w:val="center"/>
          </w:tcPr>
          <w:p>
            <w:pPr>
              <w:pStyle w:val="16"/>
            </w:pPr>
            <w:r>
              <w:t>服务对象满意度指标</w:t>
            </w:r>
          </w:p>
        </w:tc>
        <w:tc>
          <w:tcPr>
            <w:tcW w:w="2243" w:type="dxa"/>
            <w:vAlign w:val="center"/>
          </w:tcPr>
          <w:p>
            <w:pPr>
              <w:pStyle w:val="16"/>
            </w:pPr>
            <w:r>
              <w:t>抽测成果报告使用者满意度</w:t>
            </w:r>
          </w:p>
        </w:tc>
        <w:tc>
          <w:tcPr>
            <w:tcW w:w="5072" w:type="dxa"/>
            <w:vAlign w:val="center"/>
          </w:tcPr>
          <w:p>
            <w:pPr>
              <w:pStyle w:val="16"/>
            </w:pPr>
            <w:r>
              <w:t>使用者对监督抽测的满意程度</w:t>
            </w:r>
          </w:p>
        </w:tc>
        <w:tc>
          <w:tcPr>
            <w:tcW w:w="1778" w:type="dxa"/>
            <w:vAlign w:val="center"/>
          </w:tcPr>
          <w:p>
            <w:pPr>
              <w:pStyle w:val="16"/>
            </w:pPr>
            <w:r>
              <w:t>≥95%</w:t>
            </w:r>
          </w:p>
        </w:tc>
        <w:tc>
          <w:tcPr>
            <w:tcW w:w="1737" w:type="dxa"/>
            <w:vAlign w:val="center"/>
          </w:tcPr>
          <w:p>
            <w:pPr>
              <w:pStyle w:val="16"/>
            </w:pPr>
            <w:r>
              <w:t>使用者评价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55、工程监督管理聘请专家费绩效目标表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性较大的分部分项工程安全管理规定》（中华人民共和国住房和城乡建设部令第37号），城市建设综合事务中心聘请中级职称以上的工程类专业技术人员协助实施工程监督管理，保证工程质量安全监督效能，切实提高临空经济区建设工程施工安全和工程质量。</w:t>
            </w:r>
          </w:p>
          <w:p>
            <w:pPr>
              <w:pStyle w:val="16"/>
            </w:pPr>
            <w:r>
              <w:t>2.2023年共聘请中级职称以上的工程类专业技术人员协助实施工程监督管理84人/次。</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聘请人次</w:t>
            </w:r>
          </w:p>
        </w:tc>
        <w:tc>
          <w:tcPr>
            <w:tcW w:w="2835" w:type="dxa"/>
            <w:vAlign w:val="center"/>
          </w:tcPr>
          <w:p>
            <w:pPr>
              <w:pStyle w:val="16"/>
            </w:pPr>
            <w:r>
              <w:t>每次检查聘请专家3人，0.5天检查一个项目</w:t>
            </w:r>
          </w:p>
        </w:tc>
        <w:tc>
          <w:tcPr>
            <w:tcW w:w="2551" w:type="dxa"/>
            <w:vAlign w:val="center"/>
          </w:tcPr>
          <w:p>
            <w:pPr>
              <w:pStyle w:val="16"/>
            </w:pPr>
            <w:r>
              <w:t>≥84人/次（0.5天）</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抽查成果报告份数</w:t>
            </w:r>
          </w:p>
        </w:tc>
        <w:tc>
          <w:tcPr>
            <w:tcW w:w="2835" w:type="dxa"/>
            <w:vAlign w:val="center"/>
          </w:tcPr>
          <w:p>
            <w:pPr>
              <w:pStyle w:val="16"/>
            </w:pPr>
            <w:r>
              <w:t>抽查成果报告份数</w:t>
            </w:r>
          </w:p>
        </w:tc>
        <w:tc>
          <w:tcPr>
            <w:tcW w:w="2551" w:type="dxa"/>
            <w:vAlign w:val="center"/>
          </w:tcPr>
          <w:p>
            <w:pPr>
              <w:pStyle w:val="16"/>
            </w:pPr>
            <w:r>
              <w:t>≥3份</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抽查发现问题整改回复率</w:t>
            </w:r>
          </w:p>
        </w:tc>
        <w:tc>
          <w:tcPr>
            <w:tcW w:w="2835" w:type="dxa"/>
            <w:vAlign w:val="center"/>
          </w:tcPr>
          <w:p>
            <w:pPr>
              <w:pStyle w:val="16"/>
            </w:pPr>
            <w:r>
              <w:t>被抽查工程整改回复数量/抽查工程发现问题数量*100%</w:t>
            </w:r>
          </w:p>
        </w:tc>
        <w:tc>
          <w:tcPr>
            <w:tcW w:w="2551" w:type="dxa"/>
            <w:vAlign w:val="center"/>
          </w:tcPr>
          <w:p>
            <w:pPr>
              <w:pStyle w:val="16"/>
            </w:pPr>
            <w:r>
              <w:t>100%</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聘请专家费用</w:t>
            </w:r>
          </w:p>
        </w:tc>
        <w:tc>
          <w:tcPr>
            <w:tcW w:w="2835" w:type="dxa"/>
            <w:vAlign w:val="center"/>
          </w:tcPr>
          <w:p>
            <w:pPr>
              <w:pStyle w:val="16"/>
            </w:pPr>
            <w:r>
              <w:t>聘请专家费用</w:t>
            </w:r>
          </w:p>
        </w:tc>
        <w:tc>
          <w:tcPr>
            <w:tcW w:w="2551" w:type="dxa"/>
            <w:vAlign w:val="center"/>
          </w:tcPr>
          <w:p>
            <w:pPr>
              <w:pStyle w:val="16"/>
            </w:pPr>
            <w:r>
              <w:t>≤5.04万元</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项目完成及时性</w:t>
            </w:r>
          </w:p>
        </w:tc>
        <w:tc>
          <w:tcPr>
            <w:tcW w:w="2835" w:type="dxa"/>
            <w:vAlign w:val="center"/>
          </w:tcPr>
          <w:p>
            <w:pPr>
              <w:pStyle w:val="16"/>
            </w:pPr>
            <w:r>
              <w:t>考察项目是否于12月底前完成</w:t>
            </w:r>
          </w:p>
        </w:tc>
        <w:tc>
          <w:tcPr>
            <w:tcW w:w="2551" w:type="dxa"/>
            <w:vAlign w:val="center"/>
          </w:tcPr>
          <w:p>
            <w:pPr>
              <w:pStyle w:val="16"/>
            </w:pPr>
            <w:r>
              <w:t>及时</w:t>
            </w:r>
          </w:p>
        </w:tc>
        <w:tc>
          <w:tcPr>
            <w:tcW w:w="2268" w:type="dxa"/>
            <w:vAlign w:val="center"/>
          </w:tcPr>
          <w:p>
            <w:pPr>
              <w:pStyle w:val="16"/>
            </w:pPr>
            <w:r>
              <w:t>根据项目实际情况确定</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保障施工安全、工程质量</w:t>
            </w:r>
          </w:p>
        </w:tc>
        <w:tc>
          <w:tcPr>
            <w:tcW w:w="2835" w:type="dxa"/>
            <w:vAlign w:val="center"/>
          </w:tcPr>
          <w:p>
            <w:pPr>
              <w:pStyle w:val="16"/>
            </w:pPr>
            <w:r>
              <w:t>通过协助实施工程质量安全监督，保障施工安全、工程质量</w:t>
            </w:r>
          </w:p>
        </w:tc>
        <w:tc>
          <w:tcPr>
            <w:tcW w:w="2551" w:type="dxa"/>
            <w:vAlign w:val="center"/>
          </w:tcPr>
          <w:p>
            <w:pPr>
              <w:pStyle w:val="16"/>
            </w:pPr>
            <w:r>
              <w:t>有效保障</w:t>
            </w:r>
          </w:p>
        </w:tc>
        <w:tc>
          <w:tcPr>
            <w:tcW w:w="2268" w:type="dxa"/>
            <w:vAlign w:val="center"/>
          </w:tcPr>
          <w:p>
            <w:pPr>
              <w:pStyle w:val="16"/>
            </w:pPr>
            <w:r>
              <w:t>根据项目实际情况确定</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抽查成果报告使用者满意度</w:t>
            </w:r>
          </w:p>
        </w:tc>
        <w:tc>
          <w:tcPr>
            <w:tcW w:w="2835" w:type="dxa"/>
            <w:vAlign w:val="center"/>
          </w:tcPr>
          <w:p>
            <w:pPr>
              <w:pStyle w:val="16"/>
            </w:pPr>
            <w:r>
              <w:t>城市建设服务中心对第专家服务的满意程度</w:t>
            </w:r>
          </w:p>
        </w:tc>
        <w:tc>
          <w:tcPr>
            <w:tcW w:w="2551" w:type="dxa"/>
            <w:vAlign w:val="center"/>
          </w:tcPr>
          <w:p>
            <w:pPr>
              <w:pStyle w:val="16"/>
            </w:pPr>
            <w:r>
              <w:t>≥95%</w:t>
            </w:r>
          </w:p>
        </w:tc>
        <w:tc>
          <w:tcPr>
            <w:tcW w:w="2268" w:type="dxa"/>
            <w:vAlign w:val="center"/>
          </w:tcPr>
          <w:p>
            <w:pPr>
              <w:pStyle w:val="16"/>
            </w:pPr>
            <w:r>
              <w:t>城市建设综合事务中心评价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56、购买技术服务专项经费绩效目标表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1.充分履行综合执法局在土地卫片执法领域的工作职能，为廊坊临空经济区的快速稳健发展保驾护航。</w:t>
            </w:r>
          </w:p>
          <w:p>
            <w:pPr>
              <w:pStyle w:val="16"/>
            </w:pPr>
            <w:r>
              <w:t>2.通过购买第三方服务，对（1）土地执法外业核实：对下发的土地卫片图斑进合法性判定，核实量达到100%；（2）土地执法内业套核：主要对图斑合法性套核以及地类分析，核实数量30000亩；（3）土地执法实际测量，通过E级GPS或1：500地形数据采集与编辑进行实地测量，对所有临空区规划红线范围内所有未取得用地手续（已供地批复文件为准）的违法用地图斑、涉及到违法占用耕地项目需进行实地勘测，出具勘测图，测量面积6000亩；（4）地上物罚没评估，主要对区内地上物、地上建筑物及构筑物评估</w:t>
            </w:r>
            <w:bookmarkStart w:id="9" w:name="_GoBack"/>
            <w:bookmarkEnd w:id="9"/>
            <w:r>
              <w:t>数量22个，其中地上物罚没评估价值1亿的项目12个，地上物罚没评估价值2亿的项目10个；（5）通过抽检方式确保食品安全，抽检数量不少于120次。通过上述指标，充分履行综合执法局在土地卫片执法领域的工作职能，为廊坊临空经济区的快速稳健发展保驾护航。</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土地执法外业核实</w:t>
            </w:r>
          </w:p>
        </w:tc>
        <w:tc>
          <w:tcPr>
            <w:tcW w:w="2835" w:type="dxa"/>
            <w:vAlign w:val="center"/>
          </w:tcPr>
          <w:p>
            <w:pPr>
              <w:pStyle w:val="16"/>
            </w:pPr>
            <w:r>
              <w:t>对下发的图斑进行外业核实</w:t>
            </w:r>
          </w:p>
        </w:tc>
        <w:tc>
          <w:tcPr>
            <w:tcW w:w="2551" w:type="dxa"/>
            <w:vAlign w:val="center"/>
          </w:tcPr>
          <w:p>
            <w:pPr>
              <w:pStyle w:val="16"/>
            </w:pPr>
            <w:r>
              <w:t>100％</w:t>
            </w:r>
          </w:p>
        </w:tc>
        <w:tc>
          <w:tcPr>
            <w:tcW w:w="2268" w:type="dxa"/>
            <w:vAlign w:val="center"/>
          </w:tcPr>
          <w:p>
            <w:pPr>
              <w:pStyle w:val="16"/>
            </w:pPr>
            <w:r>
              <w:t>2023年工作计划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土地执法内业套核</w:t>
            </w:r>
          </w:p>
        </w:tc>
        <w:tc>
          <w:tcPr>
            <w:tcW w:w="2835" w:type="dxa"/>
            <w:vAlign w:val="center"/>
          </w:tcPr>
          <w:p>
            <w:pPr>
              <w:pStyle w:val="16"/>
            </w:pPr>
            <w:r>
              <w:t>图斑合法性套核以及地类分析</w:t>
            </w:r>
          </w:p>
        </w:tc>
        <w:tc>
          <w:tcPr>
            <w:tcW w:w="2551" w:type="dxa"/>
            <w:vAlign w:val="center"/>
          </w:tcPr>
          <w:p>
            <w:pPr>
              <w:pStyle w:val="16"/>
            </w:pPr>
            <w:r>
              <w:t>≥30000亩</w:t>
            </w:r>
          </w:p>
        </w:tc>
        <w:tc>
          <w:tcPr>
            <w:tcW w:w="2268" w:type="dxa"/>
            <w:vAlign w:val="center"/>
          </w:tcPr>
          <w:p>
            <w:pPr>
              <w:pStyle w:val="16"/>
            </w:pPr>
            <w:r>
              <w:t>2023年工作计划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土地执法实地测量</w:t>
            </w:r>
          </w:p>
        </w:tc>
        <w:tc>
          <w:tcPr>
            <w:tcW w:w="2835" w:type="dxa"/>
            <w:vAlign w:val="center"/>
          </w:tcPr>
          <w:p>
            <w:pPr>
              <w:pStyle w:val="16"/>
            </w:pPr>
            <w:r>
              <w:t>通过E级GPS或1：500地形数据采集与编辑进行实地测量</w:t>
            </w:r>
          </w:p>
        </w:tc>
        <w:tc>
          <w:tcPr>
            <w:tcW w:w="2551" w:type="dxa"/>
            <w:vAlign w:val="center"/>
          </w:tcPr>
          <w:p>
            <w:pPr>
              <w:pStyle w:val="16"/>
            </w:pPr>
            <w:r>
              <w:t>≥6000亩</w:t>
            </w:r>
          </w:p>
        </w:tc>
        <w:tc>
          <w:tcPr>
            <w:tcW w:w="2268" w:type="dxa"/>
            <w:vAlign w:val="center"/>
          </w:tcPr>
          <w:p>
            <w:pPr>
              <w:pStyle w:val="16"/>
            </w:pPr>
            <w:r>
              <w:t>2023年工作计划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地上物罚没评估</w:t>
            </w:r>
          </w:p>
        </w:tc>
        <w:tc>
          <w:tcPr>
            <w:tcW w:w="2835" w:type="dxa"/>
            <w:vAlign w:val="center"/>
          </w:tcPr>
          <w:p>
            <w:pPr>
              <w:pStyle w:val="16"/>
            </w:pPr>
            <w:r>
              <w:t>地上物、地上建筑物及构筑物评估</w:t>
            </w:r>
          </w:p>
        </w:tc>
        <w:tc>
          <w:tcPr>
            <w:tcW w:w="2551" w:type="dxa"/>
            <w:vAlign w:val="center"/>
          </w:tcPr>
          <w:p>
            <w:pPr>
              <w:pStyle w:val="16"/>
            </w:pPr>
            <w:r>
              <w:t>≥22个</w:t>
            </w:r>
          </w:p>
        </w:tc>
        <w:tc>
          <w:tcPr>
            <w:tcW w:w="2268" w:type="dxa"/>
            <w:vAlign w:val="center"/>
          </w:tcPr>
          <w:p>
            <w:pPr>
              <w:pStyle w:val="16"/>
            </w:pPr>
            <w:r>
              <w:t>2023年工作计划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食品质量检测</w:t>
            </w:r>
          </w:p>
        </w:tc>
        <w:tc>
          <w:tcPr>
            <w:tcW w:w="2835" w:type="dxa"/>
            <w:vAlign w:val="center"/>
          </w:tcPr>
          <w:p>
            <w:pPr>
              <w:pStyle w:val="16"/>
            </w:pPr>
            <w:r>
              <w:t>通过抽检方式，确保食品安全</w:t>
            </w:r>
          </w:p>
        </w:tc>
        <w:tc>
          <w:tcPr>
            <w:tcW w:w="2551" w:type="dxa"/>
            <w:vAlign w:val="center"/>
          </w:tcPr>
          <w:p>
            <w:pPr>
              <w:pStyle w:val="16"/>
            </w:pPr>
            <w:r>
              <w:t>≥120次</w:t>
            </w:r>
          </w:p>
        </w:tc>
        <w:tc>
          <w:tcPr>
            <w:tcW w:w="2268" w:type="dxa"/>
            <w:vAlign w:val="center"/>
          </w:tcPr>
          <w:p>
            <w:pPr>
              <w:pStyle w:val="16"/>
            </w:pPr>
            <w:r>
              <w:t>2023年工作计划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三方服务及时完成数量/总服务数量*100%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控制支付三方服务的总费用</w:t>
            </w:r>
          </w:p>
        </w:tc>
        <w:tc>
          <w:tcPr>
            <w:tcW w:w="2551" w:type="dxa"/>
            <w:vAlign w:val="center"/>
          </w:tcPr>
          <w:p>
            <w:pPr>
              <w:pStyle w:val="16"/>
            </w:pPr>
            <w:r>
              <w:t>≤540.84万元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提高综合执法公信力</w:t>
            </w:r>
          </w:p>
        </w:tc>
        <w:tc>
          <w:tcPr>
            <w:tcW w:w="2835" w:type="dxa"/>
            <w:vAlign w:val="center"/>
          </w:tcPr>
          <w:p>
            <w:pPr>
              <w:pStyle w:val="16"/>
            </w:pPr>
            <w:r>
              <w:t>是否有助于提高执法公信力</w:t>
            </w:r>
          </w:p>
        </w:tc>
        <w:tc>
          <w:tcPr>
            <w:tcW w:w="2551" w:type="dxa"/>
            <w:vAlign w:val="center"/>
          </w:tcPr>
          <w:p>
            <w:pPr>
              <w:pStyle w:val="16"/>
            </w:pPr>
            <w:r>
              <w:t>提高</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挽回社会经济损失</w:t>
            </w:r>
          </w:p>
        </w:tc>
        <w:tc>
          <w:tcPr>
            <w:tcW w:w="2835" w:type="dxa"/>
            <w:vAlign w:val="center"/>
          </w:tcPr>
          <w:p>
            <w:pPr>
              <w:pStyle w:val="16"/>
            </w:pPr>
            <w:r>
              <w:t>避免发生国土资源损失、安全生产、食品安全等事件造成经济损失</w:t>
            </w:r>
          </w:p>
        </w:tc>
        <w:tc>
          <w:tcPr>
            <w:tcW w:w="2551" w:type="dxa"/>
            <w:vAlign w:val="center"/>
          </w:tcPr>
          <w:p>
            <w:pPr>
              <w:pStyle w:val="16"/>
            </w:pPr>
            <w:r>
              <w:t>避免</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保持国土资源合理利用</w:t>
            </w:r>
          </w:p>
        </w:tc>
        <w:tc>
          <w:tcPr>
            <w:tcW w:w="2835" w:type="dxa"/>
            <w:vAlign w:val="center"/>
          </w:tcPr>
          <w:p>
            <w:pPr>
              <w:pStyle w:val="16"/>
            </w:pPr>
            <w:r>
              <w:t>避免发生国土资源损失</w:t>
            </w:r>
          </w:p>
        </w:tc>
        <w:tc>
          <w:tcPr>
            <w:tcW w:w="2551" w:type="dxa"/>
            <w:vAlign w:val="center"/>
          </w:tcPr>
          <w:p>
            <w:pPr>
              <w:pStyle w:val="16"/>
            </w:pPr>
            <w:r>
              <w:t>优化</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执法人员满意度</w:t>
            </w:r>
          </w:p>
        </w:tc>
        <w:tc>
          <w:tcPr>
            <w:tcW w:w="2835" w:type="dxa"/>
            <w:vAlign w:val="center"/>
          </w:tcPr>
          <w:p>
            <w:pPr>
              <w:pStyle w:val="16"/>
            </w:pPr>
            <w:r>
              <w:t>调查中满意执法人员/执法人员总数*100%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57、购置消防装备器材项目绩效目标表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根据《城市消防站建设标准》，完成消防站装备器材配置标准，更好的保护当地群众人身、公共财产安全，为当地社会经济的快速发展提供更加有力的保障，同时能更好地服务大局、服务群众、服务社会，为树立消防救援队伍的良好形象创造了条件，奠定了基础。</w:t>
            </w:r>
          </w:p>
          <w:p>
            <w:pPr>
              <w:pStyle w:val="16"/>
            </w:pPr>
            <w:r>
              <w:t>2.结合临空经济区辖区灾害事故特点，完成基础消防装备器材配置，使消防站投入使用并执勤。</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125"/>
        <w:gridCol w:w="1807"/>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125" w:type="dxa"/>
            <w:vAlign w:val="center"/>
          </w:tcPr>
          <w:p>
            <w:pPr>
              <w:pStyle w:val="14"/>
            </w:pPr>
            <w:r>
              <w:t>绩效指标描述</w:t>
            </w:r>
          </w:p>
        </w:tc>
        <w:tc>
          <w:tcPr>
            <w:tcW w:w="1807"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消防装备器材</w:t>
            </w:r>
          </w:p>
          <w:p>
            <w:pPr>
              <w:pStyle w:val="16"/>
            </w:pPr>
            <w:r>
              <w:t>采购完成率</w:t>
            </w:r>
          </w:p>
        </w:tc>
        <w:tc>
          <w:tcPr>
            <w:tcW w:w="3125" w:type="dxa"/>
            <w:vAlign w:val="center"/>
          </w:tcPr>
          <w:p>
            <w:pPr>
              <w:pStyle w:val="16"/>
            </w:pPr>
            <w:r>
              <w:t>该指标主要考核为第一、二消防站购置消防装备器材计划采购完成情况。</w:t>
            </w:r>
          </w:p>
          <w:p>
            <w:pPr>
              <w:pStyle w:val="16"/>
            </w:pPr>
            <w:r>
              <w:t>采购完成率=实际采购数量/本年度计划采购数量*100%</w:t>
            </w:r>
          </w:p>
        </w:tc>
        <w:tc>
          <w:tcPr>
            <w:tcW w:w="1807" w:type="dxa"/>
            <w:vAlign w:val="center"/>
          </w:tcPr>
          <w:p>
            <w:pPr>
              <w:pStyle w:val="16"/>
            </w:pPr>
            <w:r>
              <w:t>100%</w:t>
            </w:r>
          </w:p>
        </w:tc>
        <w:tc>
          <w:tcPr>
            <w:tcW w:w="2466" w:type="dxa"/>
            <w:vAlign w:val="center"/>
          </w:tcPr>
          <w:p>
            <w:pPr>
              <w:pStyle w:val="16"/>
            </w:pPr>
            <w:r>
              <w:t>采购合同</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消防装备器材质量合格率</w:t>
            </w:r>
          </w:p>
        </w:tc>
        <w:tc>
          <w:tcPr>
            <w:tcW w:w="3125" w:type="dxa"/>
            <w:vAlign w:val="center"/>
          </w:tcPr>
          <w:p>
            <w:pPr>
              <w:pStyle w:val="16"/>
            </w:pPr>
            <w:r>
              <w:t>该指标主要考核消防装备器材采购验收情况。</w:t>
            </w:r>
          </w:p>
          <w:p>
            <w:pPr>
              <w:pStyle w:val="16"/>
            </w:pPr>
          </w:p>
        </w:tc>
        <w:tc>
          <w:tcPr>
            <w:tcW w:w="1807" w:type="dxa"/>
            <w:vAlign w:val="center"/>
          </w:tcPr>
          <w:p>
            <w:pPr>
              <w:pStyle w:val="16"/>
            </w:pPr>
            <w:r>
              <w:t>100%</w:t>
            </w:r>
          </w:p>
        </w:tc>
        <w:tc>
          <w:tcPr>
            <w:tcW w:w="2466" w:type="dxa"/>
            <w:vAlign w:val="center"/>
          </w:tcPr>
          <w:p>
            <w:pPr>
              <w:pStyle w:val="16"/>
            </w:pPr>
            <w:r>
              <w:t>合同、验收文件</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成本控制</w:t>
            </w:r>
          </w:p>
        </w:tc>
        <w:tc>
          <w:tcPr>
            <w:tcW w:w="3125" w:type="dxa"/>
            <w:vAlign w:val="center"/>
          </w:tcPr>
          <w:p>
            <w:pPr>
              <w:pStyle w:val="16"/>
            </w:pPr>
            <w:r>
              <w:t>该指标主要考核项目实际支出是否控制在预算金额内。</w:t>
            </w:r>
          </w:p>
        </w:tc>
        <w:tc>
          <w:tcPr>
            <w:tcW w:w="1807" w:type="dxa"/>
            <w:vAlign w:val="center"/>
          </w:tcPr>
          <w:p>
            <w:pPr>
              <w:pStyle w:val="16"/>
            </w:pPr>
            <w:r>
              <w:t>≤1000万元</w:t>
            </w:r>
          </w:p>
        </w:tc>
        <w:tc>
          <w:tcPr>
            <w:tcW w:w="2466" w:type="dxa"/>
            <w:vAlign w:val="center"/>
          </w:tcPr>
          <w:p>
            <w:pPr>
              <w:pStyle w:val="16"/>
            </w:pPr>
            <w:r>
              <w:t>预算文本、合同</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器材到位及时性</w:t>
            </w:r>
          </w:p>
        </w:tc>
        <w:tc>
          <w:tcPr>
            <w:tcW w:w="3125" w:type="dxa"/>
            <w:vAlign w:val="center"/>
          </w:tcPr>
          <w:p>
            <w:pPr>
              <w:pStyle w:val="16"/>
            </w:pPr>
            <w:r>
              <w:t>考察器材装备完成及时情况</w:t>
            </w:r>
          </w:p>
        </w:tc>
        <w:tc>
          <w:tcPr>
            <w:tcW w:w="1807" w:type="dxa"/>
            <w:vAlign w:val="center"/>
          </w:tcPr>
          <w:p>
            <w:pPr>
              <w:pStyle w:val="16"/>
            </w:pPr>
            <w:r>
              <w:t>及时</w:t>
            </w:r>
          </w:p>
        </w:tc>
        <w:tc>
          <w:tcPr>
            <w:tcW w:w="2466" w:type="dxa"/>
            <w:vAlign w:val="center"/>
          </w:tcPr>
          <w:p>
            <w:pPr>
              <w:pStyle w:val="16"/>
            </w:pPr>
            <w:r>
              <w:t>合同</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保持辖区火灾形势稳定</w:t>
            </w:r>
          </w:p>
        </w:tc>
        <w:tc>
          <w:tcPr>
            <w:tcW w:w="3125" w:type="dxa"/>
            <w:vAlign w:val="center"/>
          </w:tcPr>
          <w:p>
            <w:pPr>
              <w:pStyle w:val="16"/>
            </w:pPr>
            <w:r>
              <w:t>该指标主要考核能否维持辖区社会稳定</w:t>
            </w:r>
          </w:p>
        </w:tc>
        <w:tc>
          <w:tcPr>
            <w:tcW w:w="1807" w:type="dxa"/>
            <w:vAlign w:val="center"/>
          </w:tcPr>
          <w:p>
            <w:pPr>
              <w:pStyle w:val="16"/>
            </w:pPr>
            <w:r>
              <w:t>长期</w:t>
            </w:r>
          </w:p>
        </w:tc>
        <w:tc>
          <w:tcPr>
            <w:tcW w:w="2466" w:type="dxa"/>
            <w:vAlign w:val="center"/>
          </w:tcPr>
          <w:p>
            <w:pPr>
              <w:pStyle w:val="16"/>
            </w:pPr>
            <w:r>
              <w:t>社会面火灾形势平稳</w:t>
            </w:r>
          </w:p>
        </w:tc>
      </w:tr>
      <w:tr>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保护人民生命财产安全</w:t>
            </w:r>
          </w:p>
        </w:tc>
        <w:tc>
          <w:tcPr>
            <w:tcW w:w="3125" w:type="dxa"/>
            <w:vAlign w:val="center"/>
          </w:tcPr>
          <w:p>
            <w:pPr>
              <w:pStyle w:val="16"/>
            </w:pPr>
            <w:r>
              <w:t>该指标主要考核项目实施能否保护生命财产安全。</w:t>
            </w:r>
          </w:p>
        </w:tc>
        <w:tc>
          <w:tcPr>
            <w:tcW w:w="1807" w:type="dxa"/>
            <w:vAlign w:val="center"/>
          </w:tcPr>
          <w:p>
            <w:pPr>
              <w:pStyle w:val="16"/>
            </w:pPr>
            <w:r>
              <w:t>有效保障</w:t>
            </w:r>
          </w:p>
        </w:tc>
        <w:tc>
          <w:tcPr>
            <w:tcW w:w="2466" w:type="dxa"/>
            <w:vAlign w:val="center"/>
          </w:tcPr>
          <w:p>
            <w:pPr>
              <w:pStyle w:val="16"/>
            </w:pPr>
            <w:r>
              <w:t>出勤通知、出勤任务记录</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消防队员满意度</w:t>
            </w:r>
          </w:p>
        </w:tc>
        <w:tc>
          <w:tcPr>
            <w:tcW w:w="3125" w:type="dxa"/>
            <w:vAlign w:val="center"/>
          </w:tcPr>
          <w:p>
            <w:pPr>
              <w:pStyle w:val="16"/>
            </w:pPr>
            <w:r>
              <w:t>该指标主要考核消防队员对于所采购消防车辆的满意情况。</w:t>
            </w:r>
          </w:p>
        </w:tc>
        <w:tc>
          <w:tcPr>
            <w:tcW w:w="1807" w:type="dxa"/>
            <w:vAlign w:val="center"/>
          </w:tcPr>
          <w:p>
            <w:pPr>
              <w:pStyle w:val="16"/>
            </w:pPr>
            <w:r>
              <w:t>≥90%</w:t>
            </w:r>
          </w:p>
        </w:tc>
        <w:tc>
          <w:tcPr>
            <w:tcW w:w="2466" w:type="dxa"/>
            <w:vAlign w:val="center"/>
          </w:tcPr>
          <w:p>
            <w:pPr>
              <w:pStyle w:val="16"/>
            </w:pPr>
            <w:r>
              <w:t>90%消防队员认为满意即视为合格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、关于下达2021年第一批省级外贸发展专项资金（外贸奖励）的通知绩效目标表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根据《关于下达2021年第一批省级外贸发展专项资金（外贸奖励）的通知》（廊财建（2022）98号）专项用于支持外商发展，推动本区域稳外贸系列政策落实落地，支持跨境电子商务，外贸综合服务企业和市场采购贸易方式等外贸新业态加快发展</w:t>
            </w:r>
          </w:p>
          <w:p>
            <w:pPr>
              <w:pStyle w:val="16"/>
            </w:pPr>
            <w:r>
              <w:t>2.吸引外商企业来我片区注册，加快外贸企业发展，支持外贸系列政策落实落地。</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奖励企业个数</w:t>
            </w:r>
          </w:p>
        </w:tc>
        <w:tc>
          <w:tcPr>
            <w:tcW w:w="2835" w:type="dxa"/>
            <w:vAlign w:val="center"/>
          </w:tcPr>
          <w:p>
            <w:pPr>
              <w:pStyle w:val="16"/>
            </w:pPr>
            <w:r>
              <w:t>片区符合奖励条件企业数</w:t>
            </w:r>
          </w:p>
        </w:tc>
        <w:tc>
          <w:tcPr>
            <w:tcW w:w="2551" w:type="dxa"/>
            <w:vAlign w:val="center"/>
          </w:tcPr>
          <w:p>
            <w:pPr>
              <w:pStyle w:val="16"/>
            </w:pPr>
            <w:r>
              <w:t>3个</w:t>
            </w:r>
          </w:p>
        </w:tc>
        <w:tc>
          <w:tcPr>
            <w:tcW w:w="2268" w:type="dxa"/>
            <w:vAlign w:val="center"/>
          </w:tcPr>
          <w:p>
            <w:pPr>
              <w:pStyle w:val="16"/>
            </w:pPr>
            <w:r>
              <w:t>按照文件要求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宣传外贸系列政策企业数</w:t>
            </w:r>
          </w:p>
        </w:tc>
        <w:tc>
          <w:tcPr>
            <w:tcW w:w="2835" w:type="dxa"/>
            <w:vAlign w:val="center"/>
          </w:tcPr>
          <w:p>
            <w:pPr>
              <w:pStyle w:val="16"/>
            </w:pPr>
            <w:r>
              <w:t>片区外贸企业宣讲政策企业数</w:t>
            </w:r>
          </w:p>
        </w:tc>
        <w:tc>
          <w:tcPr>
            <w:tcW w:w="2551" w:type="dxa"/>
            <w:vAlign w:val="center"/>
          </w:tcPr>
          <w:p>
            <w:pPr>
              <w:pStyle w:val="16"/>
            </w:pPr>
            <w:r>
              <w:t>3个</w:t>
            </w:r>
          </w:p>
        </w:tc>
        <w:tc>
          <w:tcPr>
            <w:tcW w:w="2268" w:type="dxa"/>
            <w:vAlign w:val="center"/>
          </w:tcPr>
          <w:p>
            <w:pPr>
              <w:pStyle w:val="16"/>
            </w:pPr>
            <w:r>
              <w:t>根据文件要求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推送外贸系列政策</w:t>
            </w:r>
          </w:p>
        </w:tc>
        <w:tc>
          <w:tcPr>
            <w:tcW w:w="2835" w:type="dxa"/>
            <w:vAlign w:val="center"/>
          </w:tcPr>
          <w:p>
            <w:pPr>
              <w:pStyle w:val="16"/>
            </w:pPr>
            <w:r>
              <w:t>及时推送外贸系列政策</w:t>
            </w:r>
          </w:p>
        </w:tc>
        <w:tc>
          <w:tcPr>
            <w:tcW w:w="2551" w:type="dxa"/>
            <w:vAlign w:val="center"/>
          </w:tcPr>
          <w:p>
            <w:pPr>
              <w:pStyle w:val="16"/>
            </w:pPr>
            <w:r>
              <w:t>及时推送</w:t>
            </w:r>
          </w:p>
        </w:tc>
        <w:tc>
          <w:tcPr>
            <w:tcW w:w="2268" w:type="dxa"/>
            <w:vAlign w:val="center"/>
          </w:tcPr>
          <w:p>
            <w:pPr>
              <w:pStyle w:val="16"/>
            </w:pPr>
            <w:r>
              <w:t>根据文件要求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奖励资金成本</w:t>
            </w:r>
          </w:p>
        </w:tc>
        <w:tc>
          <w:tcPr>
            <w:tcW w:w="2835" w:type="dxa"/>
            <w:vAlign w:val="center"/>
          </w:tcPr>
          <w:p>
            <w:pPr>
              <w:pStyle w:val="16"/>
            </w:pPr>
            <w:r>
              <w:t>《关于下达2021年第一批省级外贸发展专项资金（外贸奖励）的通知》</w:t>
            </w:r>
          </w:p>
        </w:tc>
        <w:tc>
          <w:tcPr>
            <w:tcW w:w="2551" w:type="dxa"/>
            <w:vAlign w:val="center"/>
          </w:tcPr>
          <w:p>
            <w:pPr>
              <w:pStyle w:val="16"/>
            </w:pPr>
            <w:r>
              <w:t>≥7.01万元</w:t>
            </w:r>
          </w:p>
        </w:tc>
        <w:tc>
          <w:tcPr>
            <w:tcW w:w="2268" w:type="dxa"/>
            <w:vAlign w:val="center"/>
          </w:tcPr>
          <w:p>
            <w:pPr>
              <w:pStyle w:val="16"/>
            </w:pPr>
            <w:r>
              <w:t>根据文件要求</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奖励资金成本</w:t>
            </w:r>
          </w:p>
        </w:tc>
        <w:tc>
          <w:tcPr>
            <w:tcW w:w="2835" w:type="dxa"/>
            <w:vAlign w:val="center"/>
          </w:tcPr>
          <w:p>
            <w:pPr>
              <w:pStyle w:val="16"/>
            </w:pPr>
            <w:r>
              <w:t>《关于下达2021年第一批省级外贸发展专项资金（外贸奖励）的通知》</w:t>
            </w:r>
          </w:p>
        </w:tc>
        <w:tc>
          <w:tcPr>
            <w:tcW w:w="2551" w:type="dxa"/>
            <w:vAlign w:val="center"/>
          </w:tcPr>
          <w:p>
            <w:pPr>
              <w:pStyle w:val="16"/>
            </w:pPr>
            <w:r>
              <w:t>达到预期目标</w:t>
            </w:r>
          </w:p>
          <w:p>
            <w:pPr>
              <w:pStyle w:val="16"/>
            </w:pP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服务企业满意度</w:t>
            </w:r>
          </w:p>
        </w:tc>
        <w:tc>
          <w:tcPr>
            <w:tcW w:w="2551" w:type="dxa"/>
            <w:vAlign w:val="center"/>
          </w:tcPr>
          <w:p>
            <w:pPr>
              <w:pStyle w:val="16"/>
            </w:pPr>
            <w:r>
              <w:t>≥90%</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59</w:t>
      </w:r>
      <w:r>
        <w:rPr>
          <w:rFonts w:ascii="方正仿宋_GBK" w:hAnsi="方正仿宋_GBK" w:eastAsia="方正仿宋_GBK" w:cs="方正仿宋_GBK"/>
          <w:b/>
          <w:color w:val="000000"/>
          <w:sz w:val="28"/>
        </w:rPr>
        <w:t>、关于下达2022年开发区建设省级专项资金（外商投资企业奖励）的通知绩效目标表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1.充分发挥利用外资在对外开放中的积极作用，努力进一步扩大利用外资规模，实现全区实际利用外资增长。</w:t>
            </w:r>
          </w:p>
          <w:p>
            <w:pPr>
              <w:pStyle w:val="16"/>
            </w:pPr>
            <w:r>
              <w:t>2.通过贯彻落实市委、市政府关于统筹疫情防</w:t>
            </w:r>
            <w:r>
              <w:rPr>
                <w:rFonts w:hint="eastAsia"/>
                <w:lang w:val="en-US" w:eastAsia="zh-CN"/>
              </w:rPr>
              <w:t>控</w:t>
            </w:r>
            <w:r>
              <w:t>和稳外资决策部署，发挥利用外资在对外开放中的积极作用，进一步扩大利用外资规模，优化利用外资结构，促进利用外资高质量发展，全区实际利用外资增长5%以上。</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512"/>
        <w:gridCol w:w="1420"/>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512" w:type="dxa"/>
            <w:vAlign w:val="center"/>
          </w:tcPr>
          <w:p>
            <w:pPr>
              <w:pStyle w:val="14"/>
            </w:pPr>
            <w:r>
              <w:t>绩效指标描述</w:t>
            </w:r>
          </w:p>
        </w:tc>
        <w:tc>
          <w:tcPr>
            <w:tcW w:w="1420"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奖励外商投资企业数量</w:t>
            </w:r>
          </w:p>
        </w:tc>
        <w:tc>
          <w:tcPr>
            <w:tcW w:w="3512" w:type="dxa"/>
            <w:vAlign w:val="center"/>
          </w:tcPr>
          <w:p>
            <w:pPr>
              <w:pStyle w:val="16"/>
            </w:pPr>
            <w:r>
              <w:t>依法注册设立或办理增资手续、具有独立法人资格、已正常开展生产经营活动的可接受奖励的外商投资企业</w:t>
            </w:r>
          </w:p>
        </w:tc>
        <w:tc>
          <w:tcPr>
            <w:tcW w:w="1420" w:type="dxa"/>
            <w:vAlign w:val="center"/>
          </w:tcPr>
          <w:p>
            <w:pPr>
              <w:pStyle w:val="16"/>
            </w:pPr>
            <w:r>
              <w:t>2户</w:t>
            </w:r>
          </w:p>
        </w:tc>
        <w:tc>
          <w:tcPr>
            <w:tcW w:w="2466" w:type="dxa"/>
            <w:vAlign w:val="center"/>
          </w:tcPr>
          <w:p>
            <w:pPr>
              <w:pStyle w:val="16"/>
            </w:pPr>
            <w:r>
              <w:t>根据《河北省外商投资企业奖励办法（试行）》</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受奖励企业合规率</w:t>
            </w:r>
          </w:p>
        </w:tc>
        <w:tc>
          <w:tcPr>
            <w:tcW w:w="3512" w:type="dxa"/>
            <w:vAlign w:val="center"/>
          </w:tcPr>
          <w:p>
            <w:pPr>
              <w:pStyle w:val="16"/>
            </w:pPr>
            <w:r>
              <w:t>（区内符合条件可接受奖励外商投资企业户数/区内注册资本超过3000万美元的外商企业户数）*100%</w:t>
            </w:r>
          </w:p>
        </w:tc>
        <w:tc>
          <w:tcPr>
            <w:tcW w:w="1420" w:type="dxa"/>
            <w:vAlign w:val="center"/>
          </w:tcPr>
          <w:p>
            <w:pPr>
              <w:pStyle w:val="16"/>
            </w:pPr>
            <w:r>
              <w:t>100%</w:t>
            </w:r>
          </w:p>
        </w:tc>
        <w:tc>
          <w:tcPr>
            <w:tcW w:w="2466" w:type="dxa"/>
            <w:vAlign w:val="center"/>
          </w:tcPr>
          <w:p>
            <w:pPr>
              <w:pStyle w:val="16"/>
            </w:pPr>
            <w:r>
              <w:t>根据《河北省外商投资企业奖励办法（试行）》</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奖励支持企业资金总额</w:t>
            </w:r>
          </w:p>
        </w:tc>
        <w:tc>
          <w:tcPr>
            <w:tcW w:w="3512" w:type="dxa"/>
            <w:vAlign w:val="center"/>
          </w:tcPr>
          <w:p>
            <w:pPr>
              <w:pStyle w:val="16"/>
            </w:pPr>
            <w:r>
              <w:t>实缴外方注册资本总额不超过2%（含）的比例给予奖励</w:t>
            </w:r>
          </w:p>
        </w:tc>
        <w:tc>
          <w:tcPr>
            <w:tcW w:w="1420" w:type="dxa"/>
            <w:vAlign w:val="center"/>
          </w:tcPr>
          <w:p>
            <w:pPr>
              <w:pStyle w:val="16"/>
            </w:pPr>
            <w:r>
              <w:t>969万元</w:t>
            </w:r>
          </w:p>
        </w:tc>
        <w:tc>
          <w:tcPr>
            <w:tcW w:w="2466" w:type="dxa"/>
            <w:vAlign w:val="center"/>
          </w:tcPr>
          <w:p>
            <w:pPr>
              <w:pStyle w:val="16"/>
            </w:pPr>
            <w:r>
              <w:t>根据《河北省外商投资企业奖励办法（试行）》</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奖励资金实际到位时间</w:t>
            </w:r>
          </w:p>
        </w:tc>
        <w:tc>
          <w:tcPr>
            <w:tcW w:w="3512" w:type="dxa"/>
            <w:vAlign w:val="center"/>
          </w:tcPr>
          <w:p>
            <w:pPr>
              <w:pStyle w:val="16"/>
            </w:pPr>
            <w:r>
              <w:t>奖励资金实际拨付到位时间</w:t>
            </w:r>
          </w:p>
        </w:tc>
        <w:tc>
          <w:tcPr>
            <w:tcW w:w="1420" w:type="dxa"/>
            <w:vAlign w:val="center"/>
          </w:tcPr>
          <w:p>
            <w:pPr>
              <w:pStyle w:val="16"/>
            </w:pPr>
            <w:r>
              <w:t>12月底前</w:t>
            </w:r>
          </w:p>
        </w:tc>
        <w:tc>
          <w:tcPr>
            <w:tcW w:w="2466" w:type="dxa"/>
            <w:vAlign w:val="center"/>
          </w:tcPr>
          <w:p>
            <w:pPr>
              <w:pStyle w:val="16"/>
            </w:pPr>
            <w:r>
              <w:t>根据《河北省外商投资企业奖励办法（试行）》</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拉动税收收入</w:t>
            </w:r>
          </w:p>
        </w:tc>
        <w:tc>
          <w:tcPr>
            <w:tcW w:w="3512" w:type="dxa"/>
            <w:vAlign w:val="center"/>
          </w:tcPr>
          <w:p>
            <w:pPr>
              <w:pStyle w:val="16"/>
            </w:pPr>
            <w:r>
              <w:t>通过对外商投资企业专项资金奖励鼓励企业，增加税收收入</w:t>
            </w:r>
          </w:p>
        </w:tc>
        <w:tc>
          <w:tcPr>
            <w:tcW w:w="1420" w:type="dxa"/>
            <w:vAlign w:val="center"/>
          </w:tcPr>
          <w:p>
            <w:pPr>
              <w:pStyle w:val="16"/>
            </w:pPr>
            <w:r>
              <w:t>拉动</w:t>
            </w:r>
          </w:p>
        </w:tc>
        <w:tc>
          <w:tcPr>
            <w:tcW w:w="2466" w:type="dxa"/>
            <w:vAlign w:val="center"/>
          </w:tcPr>
          <w:p>
            <w:pPr>
              <w:pStyle w:val="16"/>
            </w:pPr>
            <w:r>
              <w:t>根据《河北省外商投资企业奖励办法（试行）》</w:t>
            </w:r>
          </w:p>
        </w:tc>
      </w:tr>
      <w:tr>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吸引外资企业注册</w:t>
            </w:r>
          </w:p>
        </w:tc>
        <w:tc>
          <w:tcPr>
            <w:tcW w:w="3512" w:type="dxa"/>
            <w:vAlign w:val="center"/>
          </w:tcPr>
          <w:p>
            <w:pPr>
              <w:pStyle w:val="16"/>
            </w:pPr>
            <w:r>
              <w:t>通过对外商投资企业专项资金奖励吸引更多外商投资企业在本地注册</w:t>
            </w:r>
          </w:p>
        </w:tc>
        <w:tc>
          <w:tcPr>
            <w:tcW w:w="1420" w:type="dxa"/>
            <w:vAlign w:val="center"/>
          </w:tcPr>
          <w:p>
            <w:pPr>
              <w:pStyle w:val="16"/>
            </w:pPr>
            <w:r>
              <w:t>吸引</w:t>
            </w:r>
          </w:p>
        </w:tc>
        <w:tc>
          <w:tcPr>
            <w:tcW w:w="2466" w:type="dxa"/>
            <w:vAlign w:val="center"/>
          </w:tcPr>
          <w:p>
            <w:pPr>
              <w:pStyle w:val="16"/>
            </w:pPr>
            <w:r>
              <w:t>根据《河北省外商投资企业奖励办法（试行）》</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受奖励资金企业满意度</w:t>
            </w:r>
          </w:p>
        </w:tc>
        <w:tc>
          <w:tcPr>
            <w:tcW w:w="3512" w:type="dxa"/>
            <w:vAlign w:val="center"/>
          </w:tcPr>
          <w:p>
            <w:pPr>
              <w:pStyle w:val="16"/>
            </w:pPr>
            <w:r>
              <w:t>（受奖励企业对该项服务的满意的企业户数/受奖励的全部企业户数）*100%</w:t>
            </w:r>
          </w:p>
        </w:tc>
        <w:tc>
          <w:tcPr>
            <w:tcW w:w="1420" w:type="dxa"/>
            <w:vAlign w:val="center"/>
          </w:tcPr>
          <w:p>
            <w:pPr>
              <w:pStyle w:val="16"/>
            </w:pPr>
            <w:r>
              <w:t>≥90%</w:t>
            </w:r>
          </w:p>
        </w:tc>
        <w:tc>
          <w:tcPr>
            <w:tcW w:w="2466" w:type="dxa"/>
            <w:vAlign w:val="center"/>
          </w:tcPr>
          <w:p>
            <w:pPr>
              <w:pStyle w:val="16"/>
            </w:pPr>
            <w:r>
              <w:t>根据《河北省外商投资企业奖励办法（试行）》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、关于下达2022年新增费省级返还市县资金（25%部分，第一批）的通知绩效目标表</w:t>
      </w:r>
    </w:p>
    <w:tbl>
      <w:tblPr>
        <w:tblStyle w:val="8"/>
        <w:tblW w:w="14161"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29"/>
        <w:gridCol w:w="12332"/>
      </w:tblGrid>
      <w:tr>
        <w:trPr>
          <w:trHeight w:val="397" w:hRule="atLeast"/>
          <w:jc w:val="center"/>
        </w:trPr>
        <w:tc>
          <w:tcPr>
            <w:tcW w:w="1829"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1.进一步明确新增建设用地土地使用费征收范围，加强新增建设用地土地有偿使用费的管理</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收取利益</w:t>
            </w:r>
          </w:p>
        </w:tc>
        <w:tc>
          <w:tcPr>
            <w:tcW w:w="2835" w:type="dxa"/>
            <w:vAlign w:val="center"/>
          </w:tcPr>
          <w:p>
            <w:pPr>
              <w:pStyle w:val="16"/>
            </w:pPr>
            <w:r>
              <w:t>向取得出让等有偿使用方式的政府收取的平均土地收益</w:t>
            </w:r>
          </w:p>
        </w:tc>
        <w:tc>
          <w:tcPr>
            <w:tcW w:w="2551" w:type="dxa"/>
            <w:vAlign w:val="center"/>
          </w:tcPr>
          <w:p>
            <w:pPr>
              <w:pStyle w:val="16"/>
            </w:pPr>
            <w:r>
              <w:t>根据相关文件</w:t>
            </w:r>
          </w:p>
        </w:tc>
        <w:tc>
          <w:tcPr>
            <w:tcW w:w="2268" w:type="dxa"/>
            <w:vAlign w:val="center"/>
          </w:tcPr>
          <w:p>
            <w:pPr>
              <w:pStyle w:val="16"/>
            </w:pPr>
            <w:r>
              <w:t>关于调整新增建设用地土地有偿使用费政策等问题的通知</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按照核定的金额缴纳情况</w:t>
            </w:r>
          </w:p>
        </w:tc>
        <w:tc>
          <w:tcPr>
            <w:tcW w:w="2551" w:type="dxa"/>
            <w:vAlign w:val="center"/>
          </w:tcPr>
          <w:p>
            <w:pPr>
              <w:pStyle w:val="16"/>
            </w:pPr>
            <w:r>
              <w:t>100%</w:t>
            </w:r>
          </w:p>
        </w:tc>
        <w:tc>
          <w:tcPr>
            <w:tcW w:w="2268" w:type="dxa"/>
            <w:vAlign w:val="center"/>
          </w:tcPr>
          <w:p>
            <w:pPr>
              <w:pStyle w:val="16"/>
            </w:pPr>
            <w:r>
              <w:t>中华人民共和国土地管理法实施条例</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根据相关文件</w:t>
            </w:r>
          </w:p>
        </w:tc>
        <w:tc>
          <w:tcPr>
            <w:tcW w:w="2268" w:type="dxa"/>
            <w:vAlign w:val="center"/>
          </w:tcPr>
          <w:p>
            <w:pPr>
              <w:pStyle w:val="16"/>
            </w:pPr>
            <w:r>
              <w:t>关于调整新增建设用地土地有偿使用费政策等问题的通知</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完成情况</w:t>
            </w:r>
          </w:p>
        </w:tc>
        <w:tc>
          <w:tcPr>
            <w:tcW w:w="2835" w:type="dxa"/>
            <w:vAlign w:val="center"/>
          </w:tcPr>
          <w:p>
            <w:pPr>
              <w:pStyle w:val="16"/>
            </w:pPr>
            <w:r>
              <w:t>按照核定的时间完成</w:t>
            </w:r>
          </w:p>
        </w:tc>
        <w:tc>
          <w:tcPr>
            <w:tcW w:w="2551" w:type="dxa"/>
            <w:vAlign w:val="center"/>
          </w:tcPr>
          <w:p>
            <w:pPr>
              <w:pStyle w:val="16"/>
            </w:pPr>
            <w:r>
              <w:t>根据相关文件</w:t>
            </w:r>
          </w:p>
        </w:tc>
        <w:tc>
          <w:tcPr>
            <w:tcW w:w="2268" w:type="dxa"/>
            <w:vAlign w:val="center"/>
          </w:tcPr>
          <w:p>
            <w:pPr>
              <w:pStyle w:val="16"/>
            </w:pPr>
            <w:r>
              <w:t>中华人民共和国土地管理法实施条例</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耕地质量提升</w:t>
            </w:r>
          </w:p>
        </w:tc>
        <w:tc>
          <w:tcPr>
            <w:tcW w:w="2835" w:type="dxa"/>
            <w:vAlign w:val="center"/>
          </w:tcPr>
          <w:p>
            <w:pPr>
              <w:pStyle w:val="16"/>
            </w:pPr>
            <w:r>
              <w:t>提高耕地质量，实现耕地总量不减少</w:t>
            </w:r>
          </w:p>
        </w:tc>
        <w:tc>
          <w:tcPr>
            <w:tcW w:w="2551" w:type="dxa"/>
            <w:vAlign w:val="center"/>
          </w:tcPr>
          <w:p>
            <w:pPr>
              <w:pStyle w:val="16"/>
            </w:pPr>
            <w:r>
              <w:t>根据相关文件</w:t>
            </w:r>
          </w:p>
        </w:tc>
        <w:tc>
          <w:tcPr>
            <w:tcW w:w="2268" w:type="dxa"/>
            <w:vAlign w:val="center"/>
          </w:tcPr>
          <w:p>
            <w:pPr>
              <w:pStyle w:val="16"/>
            </w:pPr>
            <w:r>
              <w:t>中华人民共和国土地管理法实施条例</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改善生态环境质量的同时实现耕地总量的动态平衡</w:t>
            </w:r>
          </w:p>
        </w:tc>
        <w:tc>
          <w:tcPr>
            <w:tcW w:w="2551" w:type="dxa"/>
            <w:vAlign w:val="center"/>
          </w:tcPr>
          <w:p>
            <w:pPr>
              <w:pStyle w:val="16"/>
            </w:pPr>
            <w:r>
              <w:t>有效改善</w:t>
            </w:r>
          </w:p>
        </w:tc>
        <w:tc>
          <w:tcPr>
            <w:tcW w:w="2268" w:type="dxa"/>
            <w:vAlign w:val="center"/>
          </w:tcPr>
          <w:p>
            <w:pPr>
              <w:pStyle w:val="16"/>
            </w:pPr>
            <w:r>
              <w:t>中华人民共和国土地管理法实施条例</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、关于下达2022年自贸试验区创新发展奖补资金的通知绩效目标表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有效发挥自贸试验区创新发展奖补资金的引导作用，专项用于自贸试验区高水平制度创新、基础设施建设、公共服务能力提升、产业培育发展等，有效提升大兴机场片区制度创新能力水平、推动高端高新产业加速集聚，加快建设高水平开放平台。</w:t>
            </w:r>
          </w:p>
          <w:p>
            <w:pPr>
              <w:pStyle w:val="16"/>
            </w:pPr>
            <w:r>
              <w:t>2.1.开展现代商贸物流发展专项研究，有关专家进行分析研判并出具可行性研究报告。2.开展自贸试验区“证照分离”改革评估，形成中国（河北）自由贸易试验区大兴机场片区（廊坊）关于“证照分离”改革涉及暂时调整适用法律行政法规有关情况自评报告。3.开展离岸贸易专题研究，提出大兴机场那个片区（廊坊）离岸贸易发展路径、行动计划和具体工作举措，以金融政策创新带动和服务自贸试验区建设发展。</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使用项目数量</w:t>
            </w:r>
          </w:p>
        </w:tc>
        <w:tc>
          <w:tcPr>
            <w:tcW w:w="2835" w:type="dxa"/>
            <w:vAlign w:val="center"/>
          </w:tcPr>
          <w:p>
            <w:pPr>
              <w:pStyle w:val="16"/>
            </w:pPr>
            <w:r>
              <w:t>专项用于高水平制度创新、基础设施建设、公共服务能力提升、产业培育发展等领域支出。</w:t>
            </w:r>
          </w:p>
        </w:tc>
        <w:tc>
          <w:tcPr>
            <w:tcW w:w="2551" w:type="dxa"/>
            <w:vAlign w:val="center"/>
          </w:tcPr>
          <w:p>
            <w:pPr>
              <w:pStyle w:val="16"/>
            </w:pPr>
            <w:r>
              <w:t>≥2份</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专家评审通过率</w:t>
            </w:r>
          </w:p>
        </w:tc>
        <w:tc>
          <w:tcPr>
            <w:tcW w:w="2835" w:type="dxa"/>
            <w:vAlign w:val="center"/>
          </w:tcPr>
          <w:p>
            <w:pPr>
              <w:pStyle w:val="16"/>
            </w:pPr>
            <w:r>
              <w:t>专家评审通过率=（专家通过数/实际专家数）×100%</w:t>
            </w:r>
          </w:p>
        </w:tc>
        <w:tc>
          <w:tcPr>
            <w:tcW w:w="2551" w:type="dxa"/>
            <w:vAlign w:val="center"/>
          </w:tcPr>
          <w:p>
            <w:pPr>
              <w:pStyle w:val="16"/>
            </w:pPr>
            <w:r>
              <w:t>100%</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各项目支出</w:t>
            </w:r>
          </w:p>
        </w:tc>
        <w:tc>
          <w:tcPr>
            <w:tcW w:w="2835" w:type="dxa"/>
            <w:vAlign w:val="center"/>
          </w:tcPr>
          <w:p>
            <w:pPr>
              <w:pStyle w:val="16"/>
            </w:pPr>
            <w:r>
              <w:t>支出总额</w:t>
            </w:r>
          </w:p>
        </w:tc>
        <w:tc>
          <w:tcPr>
            <w:tcW w:w="2551" w:type="dxa"/>
            <w:vAlign w:val="center"/>
          </w:tcPr>
          <w:p>
            <w:pPr>
              <w:pStyle w:val="16"/>
            </w:pPr>
            <w:r>
              <w:t>≤909.7万元</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按时完成支出</w:t>
            </w:r>
          </w:p>
        </w:tc>
        <w:tc>
          <w:tcPr>
            <w:tcW w:w="2835" w:type="dxa"/>
            <w:vAlign w:val="center"/>
          </w:tcPr>
          <w:p>
            <w:pPr>
              <w:pStyle w:val="16"/>
            </w:pPr>
            <w:r>
              <w:t>支出时限</w:t>
            </w:r>
          </w:p>
        </w:tc>
        <w:tc>
          <w:tcPr>
            <w:tcW w:w="2551" w:type="dxa"/>
            <w:vAlign w:val="center"/>
          </w:tcPr>
          <w:p>
            <w:pPr>
              <w:pStyle w:val="16"/>
            </w:pPr>
            <w:r>
              <w:t>≤1年</w:t>
            </w:r>
          </w:p>
        </w:tc>
        <w:tc>
          <w:tcPr>
            <w:tcW w:w="2268" w:type="dxa"/>
            <w:vAlign w:val="center"/>
          </w:tcPr>
          <w:p>
            <w:pPr>
              <w:pStyle w:val="16"/>
            </w:pPr>
            <w:r>
              <w:t>根据合同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促进创新发展</w:t>
            </w:r>
          </w:p>
        </w:tc>
        <w:tc>
          <w:tcPr>
            <w:tcW w:w="2835" w:type="dxa"/>
            <w:vAlign w:val="center"/>
          </w:tcPr>
          <w:p>
            <w:pPr>
              <w:pStyle w:val="16"/>
            </w:pPr>
            <w:r>
              <w:t>提升自贸试验区创新发展能力</w:t>
            </w:r>
          </w:p>
        </w:tc>
        <w:tc>
          <w:tcPr>
            <w:tcW w:w="2551" w:type="dxa"/>
            <w:vAlign w:val="center"/>
          </w:tcPr>
          <w:p>
            <w:pPr>
              <w:pStyle w:val="16"/>
            </w:pPr>
            <w:r>
              <w:t>促进</w:t>
            </w:r>
          </w:p>
        </w:tc>
        <w:tc>
          <w:tcPr>
            <w:tcW w:w="2268" w:type="dxa"/>
            <w:vAlign w:val="center"/>
          </w:tcPr>
          <w:p>
            <w:pPr>
              <w:pStyle w:val="16"/>
            </w:pPr>
            <w:r>
              <w:t>行业标准</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高质量发展</w:t>
            </w:r>
          </w:p>
        </w:tc>
        <w:tc>
          <w:tcPr>
            <w:tcW w:w="2835" w:type="dxa"/>
            <w:vAlign w:val="center"/>
          </w:tcPr>
          <w:p>
            <w:pPr>
              <w:pStyle w:val="16"/>
            </w:pPr>
            <w:r>
              <w:t>推动自贸试验区高端高新产业发展</w:t>
            </w:r>
          </w:p>
        </w:tc>
        <w:tc>
          <w:tcPr>
            <w:tcW w:w="2551" w:type="dxa"/>
            <w:vAlign w:val="center"/>
          </w:tcPr>
          <w:p>
            <w:pPr>
              <w:pStyle w:val="16"/>
            </w:pPr>
            <w:r>
              <w:t>提高</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临空经济区满意度</w:t>
            </w:r>
          </w:p>
        </w:tc>
        <w:tc>
          <w:tcPr>
            <w:tcW w:w="2835" w:type="dxa"/>
            <w:vAlign w:val="center"/>
          </w:tcPr>
          <w:p>
            <w:pPr>
              <w:pStyle w:val="16"/>
            </w:pPr>
            <w:r>
              <w:t>满意度调查</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、规划建设技术咨询服务绩效目标表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1.进一步提升廊坊临空经济区规划、建设和管理能力，保障城市运营和项目建设，塑造城市特点、提升城市品质、实现高质量发展目标</w:t>
            </w:r>
          </w:p>
          <w:p>
            <w:pPr>
              <w:pStyle w:val="16"/>
            </w:pPr>
            <w:r>
              <w:t>2.通过项目的有序开展，于2023年年底完成廊坊临空经济区规划建设技术咨询服务》项目工作。我单位将严格控制成本，与咨询单位紧密联系，服务办结率为100%，服务完成及时性为2023年12月底前，成本总价不得超过400万元，规划科学合理，保障规划编制的前瞻性和规划管理的科学性，做到临空区各科室对规划建设技术咨询服务过程满意度90%及以上。</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修建性详细规划方案审查服务数量</w:t>
            </w:r>
          </w:p>
        </w:tc>
        <w:tc>
          <w:tcPr>
            <w:tcW w:w="2835" w:type="dxa"/>
            <w:vAlign w:val="center"/>
          </w:tcPr>
          <w:p>
            <w:pPr>
              <w:pStyle w:val="16"/>
            </w:pPr>
            <w:r>
              <w:t>修建性详细规划方案审查服务数量</w:t>
            </w:r>
          </w:p>
        </w:tc>
        <w:tc>
          <w:tcPr>
            <w:tcW w:w="2551" w:type="dxa"/>
            <w:vAlign w:val="center"/>
          </w:tcPr>
          <w:p>
            <w:pPr>
              <w:pStyle w:val="16"/>
            </w:pPr>
            <w:r>
              <w:t>≥110万平方米</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建筑工程总平面图审查服务数量</w:t>
            </w:r>
          </w:p>
        </w:tc>
        <w:tc>
          <w:tcPr>
            <w:tcW w:w="2835" w:type="dxa"/>
            <w:vAlign w:val="center"/>
          </w:tcPr>
          <w:p>
            <w:pPr>
              <w:pStyle w:val="16"/>
            </w:pPr>
            <w:r>
              <w:t>建筑工程总平面图审查服务数量</w:t>
            </w:r>
          </w:p>
        </w:tc>
        <w:tc>
          <w:tcPr>
            <w:tcW w:w="2551" w:type="dxa"/>
            <w:vAlign w:val="center"/>
          </w:tcPr>
          <w:p>
            <w:pPr>
              <w:pStyle w:val="16"/>
            </w:pPr>
            <w:r>
              <w:t>≥110万平方米</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建筑定位图市政内容审查服务数量</w:t>
            </w:r>
          </w:p>
        </w:tc>
        <w:tc>
          <w:tcPr>
            <w:tcW w:w="2835" w:type="dxa"/>
            <w:vAlign w:val="center"/>
          </w:tcPr>
          <w:p>
            <w:pPr>
              <w:pStyle w:val="16"/>
            </w:pPr>
            <w:r>
              <w:t>建筑定位图市政内容审查服务数量</w:t>
            </w:r>
          </w:p>
        </w:tc>
        <w:tc>
          <w:tcPr>
            <w:tcW w:w="2551" w:type="dxa"/>
            <w:vAlign w:val="center"/>
          </w:tcPr>
          <w:p>
            <w:pPr>
              <w:pStyle w:val="16"/>
            </w:pPr>
            <w:r>
              <w:t>≥110万平方米</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规划建设项目人防审查服务数量</w:t>
            </w:r>
          </w:p>
        </w:tc>
        <w:tc>
          <w:tcPr>
            <w:tcW w:w="2835" w:type="dxa"/>
            <w:vAlign w:val="center"/>
          </w:tcPr>
          <w:p>
            <w:pPr>
              <w:pStyle w:val="16"/>
            </w:pPr>
            <w:r>
              <w:t>规划建设项目人防审查服务数量</w:t>
            </w:r>
          </w:p>
        </w:tc>
        <w:tc>
          <w:tcPr>
            <w:tcW w:w="2551" w:type="dxa"/>
            <w:vAlign w:val="center"/>
          </w:tcPr>
          <w:p>
            <w:pPr>
              <w:pStyle w:val="16"/>
            </w:pPr>
            <w:r>
              <w:t>≥110万平方米</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BIM入库及物联网数据审查服务数量</w:t>
            </w:r>
          </w:p>
        </w:tc>
        <w:tc>
          <w:tcPr>
            <w:tcW w:w="2835" w:type="dxa"/>
            <w:vAlign w:val="center"/>
          </w:tcPr>
          <w:p>
            <w:pPr>
              <w:pStyle w:val="16"/>
            </w:pPr>
            <w:r>
              <w:t>BIM入库及物联网数据审查服务数量</w:t>
            </w:r>
          </w:p>
        </w:tc>
        <w:tc>
          <w:tcPr>
            <w:tcW w:w="2551" w:type="dxa"/>
            <w:vAlign w:val="center"/>
          </w:tcPr>
          <w:p>
            <w:pPr>
              <w:pStyle w:val="16"/>
            </w:pPr>
            <w:r>
              <w:t>≥35万平方米</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绿化景观方案技术审查服务数量</w:t>
            </w:r>
          </w:p>
        </w:tc>
        <w:tc>
          <w:tcPr>
            <w:tcW w:w="2835" w:type="dxa"/>
            <w:vAlign w:val="center"/>
          </w:tcPr>
          <w:p>
            <w:pPr>
              <w:pStyle w:val="16"/>
            </w:pPr>
            <w:r>
              <w:t>绿化景观方案技术审查服务数量</w:t>
            </w:r>
          </w:p>
        </w:tc>
        <w:tc>
          <w:tcPr>
            <w:tcW w:w="2551" w:type="dxa"/>
            <w:vAlign w:val="center"/>
          </w:tcPr>
          <w:p>
            <w:pPr>
              <w:pStyle w:val="16"/>
            </w:pPr>
            <w:r>
              <w:t>≥25万平方米</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服务办结率</w:t>
            </w:r>
          </w:p>
        </w:tc>
        <w:tc>
          <w:tcPr>
            <w:tcW w:w="2835" w:type="dxa"/>
            <w:vAlign w:val="center"/>
          </w:tcPr>
          <w:p>
            <w:pPr>
              <w:pStyle w:val="16"/>
            </w:pPr>
            <w:r>
              <w:t>[办结数量/申请数量]×100%</w:t>
            </w:r>
          </w:p>
        </w:tc>
        <w:tc>
          <w:tcPr>
            <w:tcW w:w="2551" w:type="dxa"/>
            <w:vAlign w:val="center"/>
          </w:tcPr>
          <w:p>
            <w:pPr>
              <w:pStyle w:val="16"/>
            </w:pPr>
            <w:r>
              <w:t>100%</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完成服务所需时间</w:t>
            </w:r>
          </w:p>
        </w:tc>
        <w:tc>
          <w:tcPr>
            <w:tcW w:w="2551" w:type="dxa"/>
            <w:vAlign w:val="center"/>
          </w:tcPr>
          <w:p>
            <w:pPr>
              <w:pStyle w:val="16"/>
            </w:pPr>
            <w:r>
              <w:t>12月底前</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成本控制总价为400万元，超出约定不得分</w:t>
            </w:r>
          </w:p>
        </w:tc>
        <w:tc>
          <w:tcPr>
            <w:tcW w:w="2551" w:type="dxa"/>
            <w:vAlign w:val="center"/>
          </w:tcPr>
          <w:p>
            <w:pPr>
              <w:pStyle w:val="16"/>
            </w:pPr>
            <w:r>
              <w:t>≤400万元</w:t>
            </w:r>
          </w:p>
        </w:tc>
        <w:tc>
          <w:tcPr>
            <w:tcW w:w="2268" w:type="dxa"/>
            <w:vAlign w:val="center"/>
          </w:tcPr>
          <w:p>
            <w:pPr>
              <w:pStyle w:val="16"/>
            </w:pPr>
            <w:r>
              <w:t>依照合同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规划科学合理</w:t>
            </w:r>
          </w:p>
        </w:tc>
        <w:tc>
          <w:tcPr>
            <w:tcW w:w="2835" w:type="dxa"/>
            <w:vAlign w:val="center"/>
          </w:tcPr>
          <w:p>
            <w:pPr>
              <w:pStyle w:val="16"/>
            </w:pPr>
            <w:r>
              <w:t>保障规划编制的前瞻性和规划管理的科学性</w:t>
            </w:r>
          </w:p>
        </w:tc>
        <w:tc>
          <w:tcPr>
            <w:tcW w:w="2551" w:type="dxa"/>
            <w:vAlign w:val="center"/>
          </w:tcPr>
          <w:p>
            <w:pPr>
              <w:pStyle w:val="16"/>
            </w:pPr>
            <w:r>
              <w:t>合理</w:t>
            </w:r>
          </w:p>
        </w:tc>
        <w:tc>
          <w:tcPr>
            <w:tcW w:w="2268" w:type="dxa"/>
            <w:vAlign w:val="center"/>
          </w:tcPr>
          <w:p>
            <w:pPr>
              <w:pStyle w:val="16"/>
            </w:pPr>
            <w:r>
              <w:t>临空区管委会内部会议纪要</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项目满意度</w:t>
            </w:r>
          </w:p>
        </w:tc>
        <w:tc>
          <w:tcPr>
            <w:tcW w:w="2835" w:type="dxa"/>
            <w:vAlign w:val="center"/>
          </w:tcPr>
          <w:p>
            <w:pPr>
              <w:pStyle w:val="16"/>
            </w:pPr>
            <w:r>
              <w:t>调查问卷满意人数/调查问卷总人数*100%</w:t>
            </w:r>
          </w:p>
        </w:tc>
        <w:tc>
          <w:tcPr>
            <w:tcW w:w="2551" w:type="dxa"/>
            <w:vAlign w:val="center"/>
          </w:tcPr>
          <w:p>
            <w:pPr>
              <w:pStyle w:val="16"/>
            </w:pPr>
            <w:r>
              <w:t>≥90%</w:t>
            </w:r>
          </w:p>
        </w:tc>
        <w:tc>
          <w:tcPr>
            <w:tcW w:w="2268"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63</w:t>
      </w:r>
      <w:r>
        <w:rPr>
          <w:rFonts w:ascii="方正仿宋_GBK" w:hAnsi="方正仿宋_GBK" w:eastAsia="方正仿宋_GBK" w:cs="方正仿宋_GBK"/>
          <w:b/>
          <w:color w:val="000000"/>
          <w:sz w:val="28"/>
        </w:rPr>
        <w:t>、国道G105石河营至九州连接线新建工程绩效目标表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1.正确履职尽责，保障G105国道工程建设资金拨付工作正常开展，协调市交通局推进项目工程建设，确保G105国道工程顺利实施，提高区域对外出行效率。</w:t>
            </w:r>
          </w:p>
          <w:p>
            <w:pPr>
              <w:pStyle w:val="16"/>
            </w:pPr>
            <w:r>
              <w:t>2.正确履职尽责，保障G105国道工程建设资金拨付工作正常开展，协调市交通局推进项目工程建设，确保G105国道工程顺利实施，提高区域对外出行效率。</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建设道路长度</w:t>
            </w:r>
          </w:p>
        </w:tc>
        <w:tc>
          <w:tcPr>
            <w:tcW w:w="2835" w:type="dxa"/>
            <w:vAlign w:val="center"/>
          </w:tcPr>
          <w:p>
            <w:pPr>
              <w:pStyle w:val="16"/>
            </w:pPr>
            <w:r>
              <w:t>项目建设总里程</w:t>
            </w:r>
          </w:p>
        </w:tc>
        <w:tc>
          <w:tcPr>
            <w:tcW w:w="2551" w:type="dxa"/>
            <w:vAlign w:val="center"/>
          </w:tcPr>
          <w:p>
            <w:pPr>
              <w:pStyle w:val="16"/>
            </w:pPr>
            <w:r>
              <w:t>≥5.4公里</w:t>
            </w:r>
          </w:p>
        </w:tc>
        <w:tc>
          <w:tcPr>
            <w:tcW w:w="2268" w:type="dxa"/>
            <w:vAlign w:val="center"/>
          </w:tcPr>
          <w:p>
            <w:pPr>
              <w:pStyle w:val="16"/>
            </w:pPr>
            <w:r>
              <w:t>依照合同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现场工程质量</w:t>
            </w:r>
          </w:p>
        </w:tc>
        <w:tc>
          <w:tcPr>
            <w:tcW w:w="2835" w:type="dxa"/>
            <w:vAlign w:val="center"/>
          </w:tcPr>
          <w:p>
            <w:pPr>
              <w:pStyle w:val="16"/>
            </w:pPr>
            <w:r>
              <w:t>现场试件及抽查质量合格率</w:t>
            </w:r>
          </w:p>
        </w:tc>
        <w:tc>
          <w:tcPr>
            <w:tcW w:w="2551" w:type="dxa"/>
            <w:vAlign w:val="center"/>
          </w:tcPr>
          <w:p>
            <w:pPr>
              <w:pStyle w:val="16"/>
            </w:pPr>
            <w:r>
              <w:t>≥95%</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拨付款及时率</w:t>
            </w:r>
          </w:p>
        </w:tc>
        <w:tc>
          <w:tcPr>
            <w:tcW w:w="2835" w:type="dxa"/>
            <w:vAlign w:val="center"/>
          </w:tcPr>
          <w:p>
            <w:pPr>
              <w:pStyle w:val="16"/>
            </w:pPr>
            <w:r>
              <w:t>工程款拨付时间不超过一个月</w:t>
            </w:r>
          </w:p>
        </w:tc>
        <w:tc>
          <w:tcPr>
            <w:tcW w:w="2551" w:type="dxa"/>
            <w:vAlign w:val="center"/>
          </w:tcPr>
          <w:p>
            <w:pPr>
              <w:pStyle w:val="16"/>
            </w:pPr>
            <w:r>
              <w:t>&lt;1月</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不超过合同额</w:t>
            </w:r>
          </w:p>
        </w:tc>
        <w:tc>
          <w:tcPr>
            <w:tcW w:w="2551" w:type="dxa"/>
            <w:vAlign w:val="center"/>
          </w:tcPr>
          <w:p>
            <w:pPr>
              <w:pStyle w:val="16"/>
            </w:pPr>
            <w:r>
              <w:t>不超过合同额的5%</w:t>
            </w:r>
          </w:p>
        </w:tc>
        <w:tc>
          <w:tcPr>
            <w:tcW w:w="2268" w:type="dxa"/>
            <w:vAlign w:val="center"/>
          </w:tcPr>
          <w:p>
            <w:pPr>
              <w:pStyle w:val="16"/>
            </w:pPr>
            <w:r>
              <w:t>根据项目实际情况确定</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保障周边居民出行</w:t>
            </w:r>
          </w:p>
        </w:tc>
        <w:tc>
          <w:tcPr>
            <w:tcW w:w="2835" w:type="dxa"/>
            <w:vAlign w:val="center"/>
          </w:tcPr>
          <w:p>
            <w:pPr>
              <w:pStyle w:val="16"/>
            </w:pPr>
            <w:r>
              <w:t>保障周边居民出行</w:t>
            </w:r>
          </w:p>
        </w:tc>
        <w:tc>
          <w:tcPr>
            <w:tcW w:w="2551" w:type="dxa"/>
            <w:vAlign w:val="center"/>
          </w:tcPr>
          <w:p>
            <w:pPr>
              <w:pStyle w:val="16"/>
            </w:pPr>
            <w:r>
              <w:t>保障周边居民出行</w:t>
            </w:r>
          </w:p>
        </w:tc>
        <w:tc>
          <w:tcPr>
            <w:tcW w:w="2268" w:type="dxa"/>
            <w:vAlign w:val="center"/>
          </w:tcPr>
          <w:p>
            <w:pPr>
              <w:pStyle w:val="16"/>
            </w:pPr>
            <w:r>
              <w:t>效果显著</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加快区域通行及运输</w:t>
            </w:r>
          </w:p>
        </w:tc>
        <w:tc>
          <w:tcPr>
            <w:tcW w:w="2835" w:type="dxa"/>
            <w:vAlign w:val="center"/>
          </w:tcPr>
          <w:p>
            <w:pPr>
              <w:pStyle w:val="16"/>
            </w:pPr>
            <w:r>
              <w:t>加快区域通行及运输</w:t>
            </w:r>
          </w:p>
        </w:tc>
        <w:tc>
          <w:tcPr>
            <w:tcW w:w="2551" w:type="dxa"/>
            <w:vAlign w:val="center"/>
          </w:tcPr>
          <w:p>
            <w:pPr>
              <w:pStyle w:val="16"/>
            </w:pPr>
            <w:r>
              <w:t>加快区域通行及运输</w:t>
            </w:r>
          </w:p>
        </w:tc>
        <w:tc>
          <w:tcPr>
            <w:tcW w:w="2268" w:type="dxa"/>
            <w:vAlign w:val="center"/>
          </w:tcPr>
          <w:p>
            <w:pPr>
              <w:pStyle w:val="16"/>
            </w:pPr>
            <w:r>
              <w:t>效果显著</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完善区域路网建设</w:t>
            </w:r>
          </w:p>
        </w:tc>
        <w:tc>
          <w:tcPr>
            <w:tcW w:w="2835" w:type="dxa"/>
            <w:vAlign w:val="center"/>
          </w:tcPr>
          <w:p>
            <w:pPr>
              <w:pStyle w:val="16"/>
            </w:pPr>
            <w:r>
              <w:t>完善区域路网建设</w:t>
            </w:r>
          </w:p>
        </w:tc>
        <w:tc>
          <w:tcPr>
            <w:tcW w:w="2551" w:type="dxa"/>
            <w:vAlign w:val="center"/>
          </w:tcPr>
          <w:p>
            <w:pPr>
              <w:pStyle w:val="16"/>
            </w:pPr>
            <w:r>
              <w:t>完善区域路网建设</w:t>
            </w:r>
          </w:p>
        </w:tc>
        <w:tc>
          <w:tcPr>
            <w:tcW w:w="2268" w:type="dxa"/>
            <w:vAlign w:val="center"/>
          </w:tcPr>
          <w:p>
            <w:pPr>
              <w:pStyle w:val="16"/>
            </w:pPr>
            <w:r>
              <w:t>效果显著</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保障城市生态安全</w:t>
            </w:r>
          </w:p>
        </w:tc>
        <w:tc>
          <w:tcPr>
            <w:tcW w:w="2835" w:type="dxa"/>
            <w:vAlign w:val="center"/>
          </w:tcPr>
          <w:p>
            <w:pPr>
              <w:pStyle w:val="16"/>
            </w:pPr>
            <w:r>
              <w:t>保障城市生态安全</w:t>
            </w:r>
          </w:p>
        </w:tc>
        <w:tc>
          <w:tcPr>
            <w:tcW w:w="2551" w:type="dxa"/>
            <w:vAlign w:val="center"/>
          </w:tcPr>
          <w:p>
            <w:pPr>
              <w:pStyle w:val="16"/>
            </w:pPr>
            <w:r>
              <w:t>保障城市生态安全</w:t>
            </w:r>
          </w:p>
        </w:tc>
        <w:tc>
          <w:tcPr>
            <w:tcW w:w="2268" w:type="dxa"/>
            <w:vAlign w:val="center"/>
          </w:tcPr>
          <w:p>
            <w:pPr>
              <w:pStyle w:val="16"/>
            </w:pPr>
            <w:r>
              <w:t>效果显著</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工程建设单位满意</w:t>
            </w:r>
          </w:p>
        </w:tc>
        <w:tc>
          <w:tcPr>
            <w:tcW w:w="2835" w:type="dxa"/>
            <w:vAlign w:val="center"/>
          </w:tcPr>
          <w:p>
            <w:pPr>
              <w:pStyle w:val="16"/>
            </w:pPr>
            <w:r>
              <w:t>工程建设单位满意</w:t>
            </w:r>
          </w:p>
        </w:tc>
        <w:tc>
          <w:tcPr>
            <w:tcW w:w="2551" w:type="dxa"/>
            <w:vAlign w:val="center"/>
          </w:tcPr>
          <w:p>
            <w:pPr>
              <w:pStyle w:val="16"/>
            </w:pPr>
            <w:r>
              <w:t>≥90%</w:t>
            </w:r>
          </w:p>
        </w:tc>
        <w:tc>
          <w:tcPr>
            <w:tcW w:w="2268" w:type="dxa"/>
            <w:vAlign w:val="center"/>
          </w:tcPr>
          <w:p>
            <w:pPr>
              <w:pStyle w:val="16"/>
            </w:pPr>
            <w:r>
              <w:t>效果显著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、国有存量建设用地土壤环境调查评审咨询服务项目绩效目标表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根据《中华人民共和国土壤污染防治法》第五十九条要求，用途变更为住宅、公共管理与公共服务用地的，变更前应当按照规定进行土壤污染状况调查。全面、系统、准确掌握土壤环境质量总体状况，查明重点区域土壤污染类型、程度和原因，评估土壤污染风险，确定土壤环境安全等级，筛选并试点示范土壤修复技术，按照国家颁布的土壤污染防治法律法规及标准体系，提升我辖区的土壤环境监管能力。</w:t>
            </w:r>
          </w:p>
          <w:p>
            <w:pPr>
              <w:pStyle w:val="16"/>
            </w:pPr>
            <w:r>
              <w:t>2.通过项目开展，了解区域土壤污染状况，改善土壤环境质量，确保区域土壤质量达到省和国家的目标要求。预计2023年底完成对区域国有存量建设用地土壤环境调查，总成本控制在80万以内，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地块数量</w:t>
            </w:r>
          </w:p>
        </w:tc>
        <w:tc>
          <w:tcPr>
            <w:tcW w:w="2835" w:type="dxa"/>
            <w:vAlign w:val="center"/>
          </w:tcPr>
          <w:p>
            <w:pPr>
              <w:pStyle w:val="16"/>
            </w:pPr>
            <w:r>
              <w:t>土壤污染状况调查的地块</w:t>
            </w:r>
          </w:p>
        </w:tc>
        <w:tc>
          <w:tcPr>
            <w:tcW w:w="2551" w:type="dxa"/>
            <w:vAlign w:val="center"/>
          </w:tcPr>
          <w:p>
            <w:pPr>
              <w:pStyle w:val="16"/>
            </w:pPr>
            <w:r>
              <w:t>≥1块</w:t>
            </w:r>
          </w:p>
        </w:tc>
        <w:tc>
          <w:tcPr>
            <w:tcW w:w="2268" w:type="dxa"/>
            <w:vAlign w:val="center"/>
          </w:tcPr>
          <w:p>
            <w:pPr>
              <w:pStyle w:val="16"/>
            </w:pPr>
            <w:r>
              <w:t>国有存量建设用地需完成土壤污染调查的地块</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是否符合审批要求</w:t>
            </w:r>
          </w:p>
        </w:tc>
        <w:tc>
          <w:tcPr>
            <w:tcW w:w="2551" w:type="dxa"/>
            <w:vAlign w:val="center"/>
          </w:tcPr>
          <w:p>
            <w:pPr>
              <w:pStyle w:val="16"/>
            </w:pPr>
            <w:r>
              <w:t>≥95%</w:t>
            </w:r>
          </w:p>
        </w:tc>
        <w:tc>
          <w:tcPr>
            <w:tcW w:w="2268" w:type="dxa"/>
            <w:vAlign w:val="center"/>
          </w:tcPr>
          <w:p>
            <w:pPr>
              <w:pStyle w:val="16"/>
            </w:pPr>
            <w:r>
              <w:t>审批意见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合同规定工期</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成本预算不高于80万</w:t>
            </w:r>
          </w:p>
        </w:tc>
        <w:tc>
          <w:tcPr>
            <w:tcW w:w="2551" w:type="dxa"/>
            <w:vAlign w:val="center"/>
          </w:tcPr>
          <w:p>
            <w:pPr>
              <w:pStyle w:val="16"/>
            </w:pPr>
            <w:r>
              <w:t>≤80万元</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提升辖区的土壤环境监管能力</w:t>
            </w:r>
          </w:p>
        </w:tc>
        <w:tc>
          <w:tcPr>
            <w:tcW w:w="2835" w:type="dxa"/>
            <w:vAlign w:val="center"/>
          </w:tcPr>
          <w:p>
            <w:pPr>
              <w:pStyle w:val="16"/>
            </w:pPr>
            <w:r>
              <w:t>通过项目开展，提升辖区的土壤环境监管能力</w:t>
            </w:r>
          </w:p>
        </w:tc>
        <w:tc>
          <w:tcPr>
            <w:tcW w:w="2551" w:type="dxa"/>
            <w:vAlign w:val="center"/>
          </w:tcPr>
          <w:p>
            <w:pPr>
              <w:pStyle w:val="16"/>
            </w:pPr>
            <w:r>
              <w:t>有效提升</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甲方满意度</w:t>
            </w:r>
          </w:p>
        </w:tc>
        <w:tc>
          <w:tcPr>
            <w:tcW w:w="2835" w:type="dxa"/>
            <w:vAlign w:val="center"/>
          </w:tcPr>
          <w:p>
            <w:pPr>
              <w:pStyle w:val="16"/>
            </w:pPr>
            <w:r>
              <w:t>科室满意人数/调查总人数*100%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、海绵城市建设全过程技术咨询绩效目标表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1.协助临空经济区海绵城市管理工作，更好地落实临空经济区海绵城市建设指标，推进海绵城市建设。</w:t>
            </w:r>
          </w:p>
          <w:p>
            <w:pPr>
              <w:pStyle w:val="16"/>
            </w:pPr>
            <w:r>
              <w:t>2.通过项目的有序开展，于2023年年底完成《廊坊临空经济区海绵城市建设全过程技术咨询》项目工作。我单位将严格控制成本，与咨询单位紧密联系，海绵城市建设全过程技术咨询服务用地面积规模超过124万平方米，服务办结率为100%，完成及时性为2023年12月底完成服务，成本总价不得超过49.6万元，节约海绵城市落地成本，推进海绵城市落地高效，营造城市宜居环境，保证人民美好生活，有效防治城市内涝、保障城市生态安全，打造京津冀海绵城市示范区，并保障相关部门满意度为90%以上。</w:t>
            </w:r>
          </w:p>
          <w:p>
            <w:pPr>
              <w:pStyle w:val="16"/>
            </w:pP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服务用地面积</w:t>
            </w:r>
          </w:p>
        </w:tc>
        <w:tc>
          <w:tcPr>
            <w:tcW w:w="2835" w:type="dxa"/>
            <w:vAlign w:val="center"/>
          </w:tcPr>
          <w:p>
            <w:pPr>
              <w:pStyle w:val="16"/>
            </w:pPr>
            <w:r>
              <w:t>海绵城市建设全过程技术咨询服务用地面积</w:t>
            </w:r>
          </w:p>
        </w:tc>
        <w:tc>
          <w:tcPr>
            <w:tcW w:w="2551" w:type="dxa"/>
            <w:vAlign w:val="center"/>
          </w:tcPr>
          <w:p>
            <w:pPr>
              <w:pStyle w:val="16"/>
            </w:pPr>
            <w:r>
              <w:t>≥124万平方米</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服务办结率</w:t>
            </w:r>
          </w:p>
        </w:tc>
        <w:tc>
          <w:tcPr>
            <w:tcW w:w="2835" w:type="dxa"/>
            <w:vAlign w:val="center"/>
          </w:tcPr>
          <w:p>
            <w:pPr>
              <w:pStyle w:val="16"/>
            </w:pPr>
            <w:r>
              <w:t>[办结数量/申请数量]×100%</w:t>
            </w:r>
          </w:p>
        </w:tc>
        <w:tc>
          <w:tcPr>
            <w:tcW w:w="2551" w:type="dxa"/>
            <w:vAlign w:val="center"/>
          </w:tcPr>
          <w:p>
            <w:pPr>
              <w:pStyle w:val="16"/>
            </w:pPr>
            <w:r>
              <w:t>100%</w:t>
            </w:r>
          </w:p>
        </w:tc>
        <w:tc>
          <w:tcPr>
            <w:tcW w:w="2268" w:type="dxa"/>
            <w:vAlign w:val="center"/>
          </w:tcPr>
          <w:p>
            <w:pPr>
              <w:pStyle w:val="16"/>
            </w:pPr>
            <w:r>
              <w:t>项目档案</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完成服务所需时间</w:t>
            </w:r>
          </w:p>
        </w:tc>
        <w:tc>
          <w:tcPr>
            <w:tcW w:w="2551" w:type="dxa"/>
            <w:vAlign w:val="center"/>
          </w:tcPr>
          <w:p>
            <w:pPr>
              <w:pStyle w:val="16"/>
            </w:pPr>
            <w:r>
              <w:t>12月底前</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成本控制总价</w:t>
            </w:r>
          </w:p>
        </w:tc>
        <w:tc>
          <w:tcPr>
            <w:tcW w:w="2551" w:type="dxa"/>
            <w:vAlign w:val="center"/>
          </w:tcPr>
          <w:p>
            <w:pPr>
              <w:pStyle w:val="16"/>
            </w:pPr>
            <w:r>
              <w:t>≤49.6万元</w:t>
            </w:r>
          </w:p>
        </w:tc>
        <w:tc>
          <w:tcPr>
            <w:tcW w:w="2268" w:type="dxa"/>
            <w:vAlign w:val="center"/>
          </w:tcPr>
          <w:p>
            <w:pPr>
              <w:pStyle w:val="16"/>
            </w:pPr>
            <w:r>
              <w:t>依照合同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节约过程成本</w:t>
            </w:r>
          </w:p>
        </w:tc>
        <w:tc>
          <w:tcPr>
            <w:tcW w:w="2835" w:type="dxa"/>
            <w:vAlign w:val="center"/>
          </w:tcPr>
          <w:p>
            <w:pPr>
              <w:pStyle w:val="16"/>
            </w:pPr>
            <w:r>
              <w:t>节约海绵城市落地成本</w:t>
            </w:r>
          </w:p>
        </w:tc>
        <w:tc>
          <w:tcPr>
            <w:tcW w:w="2551" w:type="dxa"/>
            <w:vAlign w:val="center"/>
          </w:tcPr>
          <w:p>
            <w:pPr>
              <w:pStyle w:val="16"/>
            </w:pPr>
            <w:r>
              <w:t>有效</w:t>
            </w:r>
          </w:p>
        </w:tc>
        <w:tc>
          <w:tcPr>
            <w:tcW w:w="2268" w:type="dxa"/>
            <w:vAlign w:val="center"/>
          </w:tcPr>
          <w:p>
            <w:pPr>
              <w:pStyle w:val="16"/>
            </w:pPr>
            <w:r>
              <w:t>专家评审会会议纪要</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保障人民美好生活</w:t>
            </w:r>
          </w:p>
        </w:tc>
        <w:tc>
          <w:tcPr>
            <w:tcW w:w="2835" w:type="dxa"/>
            <w:vAlign w:val="center"/>
          </w:tcPr>
          <w:p>
            <w:pPr>
              <w:pStyle w:val="16"/>
            </w:pPr>
            <w:r>
              <w:t>营造城市宜居环境，保障人民美好生活。</w:t>
            </w:r>
          </w:p>
        </w:tc>
        <w:tc>
          <w:tcPr>
            <w:tcW w:w="2551" w:type="dxa"/>
            <w:vAlign w:val="center"/>
          </w:tcPr>
          <w:p>
            <w:pPr>
              <w:pStyle w:val="16"/>
            </w:pPr>
            <w:r>
              <w:t>提高</w:t>
            </w:r>
          </w:p>
        </w:tc>
        <w:tc>
          <w:tcPr>
            <w:tcW w:w="2268" w:type="dxa"/>
            <w:vAlign w:val="center"/>
          </w:tcPr>
          <w:p>
            <w:pPr>
              <w:pStyle w:val="16"/>
            </w:pPr>
            <w:r>
              <w:t>专家评审会会议纪要</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保障城市生态安全</w:t>
            </w:r>
          </w:p>
        </w:tc>
        <w:tc>
          <w:tcPr>
            <w:tcW w:w="2835" w:type="dxa"/>
            <w:vAlign w:val="center"/>
          </w:tcPr>
          <w:p>
            <w:pPr>
              <w:pStyle w:val="16"/>
            </w:pPr>
            <w:r>
              <w:t>有效防治城市内涝、保障城市生态安全</w:t>
            </w:r>
          </w:p>
        </w:tc>
        <w:tc>
          <w:tcPr>
            <w:tcW w:w="2551" w:type="dxa"/>
            <w:vAlign w:val="center"/>
          </w:tcPr>
          <w:p>
            <w:pPr>
              <w:pStyle w:val="16"/>
            </w:pPr>
            <w:r>
              <w:t>优化</w:t>
            </w:r>
          </w:p>
        </w:tc>
        <w:tc>
          <w:tcPr>
            <w:tcW w:w="2268" w:type="dxa"/>
            <w:vAlign w:val="center"/>
          </w:tcPr>
          <w:p>
            <w:pPr>
              <w:pStyle w:val="16"/>
            </w:pPr>
            <w:r>
              <w:t>专家评审会会议纪要</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保障持续发展需要</w:t>
            </w:r>
          </w:p>
        </w:tc>
        <w:tc>
          <w:tcPr>
            <w:tcW w:w="2835" w:type="dxa"/>
            <w:vAlign w:val="center"/>
          </w:tcPr>
          <w:p>
            <w:pPr>
              <w:pStyle w:val="16"/>
            </w:pPr>
            <w:r>
              <w:t>打造京津冀海绵城市建设示范区</w:t>
            </w:r>
          </w:p>
        </w:tc>
        <w:tc>
          <w:tcPr>
            <w:tcW w:w="2551" w:type="dxa"/>
            <w:vAlign w:val="center"/>
          </w:tcPr>
          <w:p>
            <w:pPr>
              <w:pStyle w:val="16"/>
            </w:pPr>
            <w:r>
              <w:t>促进</w:t>
            </w:r>
          </w:p>
        </w:tc>
        <w:tc>
          <w:tcPr>
            <w:tcW w:w="2268" w:type="dxa"/>
            <w:vAlign w:val="center"/>
          </w:tcPr>
          <w:p>
            <w:pPr>
              <w:pStyle w:val="16"/>
            </w:pPr>
            <w:r>
              <w:t>专家评审会会议纪要</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项目满意度</w:t>
            </w:r>
          </w:p>
        </w:tc>
        <w:tc>
          <w:tcPr>
            <w:tcW w:w="2835" w:type="dxa"/>
            <w:vAlign w:val="center"/>
          </w:tcPr>
          <w:p>
            <w:pPr>
              <w:pStyle w:val="16"/>
            </w:pPr>
            <w:r>
              <w:t>调查问卷满意人数/调查问卷总人数*100%</w:t>
            </w:r>
          </w:p>
        </w:tc>
        <w:tc>
          <w:tcPr>
            <w:tcW w:w="2551" w:type="dxa"/>
            <w:vAlign w:val="center"/>
          </w:tcPr>
          <w:p>
            <w:pPr>
              <w:pStyle w:val="16"/>
            </w:pPr>
            <w:r>
              <w:t>≥90%</w:t>
            </w:r>
          </w:p>
        </w:tc>
        <w:tc>
          <w:tcPr>
            <w:tcW w:w="2268"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、航企服务岛北区户外广告与招牌设施专项城市设计绩效目标表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86"/>
        <w:gridCol w:w="13212"/>
      </w:tblGrid>
      <w:tr>
        <w:trPr>
          <w:trHeight w:val="397" w:hRule="atLeast"/>
          <w:jc w:val="center"/>
        </w:trPr>
        <w:tc>
          <w:tcPr>
            <w:tcW w:w="1586" w:type="dxa"/>
            <w:tcBorders>
              <w:bottom w:val="single" w:color="FFFFFF" w:sz="6" w:space="0"/>
            </w:tcBorders>
            <w:vAlign w:val="center"/>
          </w:tcPr>
          <w:p>
            <w:pPr>
              <w:pStyle w:val="14"/>
            </w:pPr>
            <w:r>
              <w:t>绩效目标</w:t>
            </w:r>
          </w:p>
        </w:tc>
        <w:tc>
          <w:tcPr>
            <w:tcW w:w="13212" w:type="dxa"/>
            <w:tcBorders>
              <w:bottom w:val="single" w:color="FFFFFF" w:sz="6" w:space="0"/>
            </w:tcBorders>
            <w:vAlign w:val="center"/>
          </w:tcPr>
          <w:p>
            <w:pPr>
              <w:pStyle w:val="16"/>
            </w:pPr>
            <w:r>
              <w:t>1.依据《中华人民共和国广告法》、《城市户外广告和招牌设施技术标准》（CJJ/T149-2021）、《河北省户外广告管理办法》、《河北省城市市容和环境卫生条例》等政策要求。通过对临空区航企服务岛北区户外广告和招牌的设计，进一步提升临空区航企服务岛北区形象、气质和文明程度，打造环境优美展示地；提升临空区科学化、精细化、智能化管理水平；打造文化传媒商地，营造良好营商和公益宣传环境，助力建设现代时尚、科技、安全的高颜值廊坊临空经济区。</w:t>
            </w:r>
          </w:p>
          <w:p>
            <w:pPr>
              <w:pStyle w:val="16"/>
            </w:pPr>
            <w:r>
              <w:t>2.通过项目开展，完成户外广告及招牌设施专项城市设计面积234.6公顷，编制成果文件3套，户外广告及招牌设施专项城市设计覆盖率达到100%，户外广告及招牌设施专项城市设计成果利用率100%，成本控制在预算范围内，提供管理户外广告及招牌设施依据，提高营造良好营商和公益宣传环境能力。</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2474"/>
        <w:gridCol w:w="3464"/>
        <w:gridCol w:w="3789"/>
        <w:gridCol w:w="1902"/>
        <w:gridCol w:w="1582"/>
      </w:tblGrid>
      <w:tr>
        <w:trPr>
          <w:trHeight w:val="397" w:hRule="atLeast"/>
          <w:tblHeader/>
          <w:jc w:val="center"/>
        </w:trPr>
        <w:tc>
          <w:tcPr>
            <w:tcW w:w="1585" w:type="dxa"/>
            <w:vAlign w:val="center"/>
          </w:tcPr>
          <w:p>
            <w:pPr>
              <w:pStyle w:val="14"/>
            </w:pPr>
            <w:r>
              <w:t>一级指标</w:t>
            </w:r>
          </w:p>
        </w:tc>
        <w:tc>
          <w:tcPr>
            <w:tcW w:w="2474" w:type="dxa"/>
            <w:vAlign w:val="center"/>
          </w:tcPr>
          <w:p>
            <w:pPr>
              <w:pStyle w:val="14"/>
            </w:pPr>
            <w:r>
              <w:t>二级指标</w:t>
            </w:r>
          </w:p>
        </w:tc>
        <w:tc>
          <w:tcPr>
            <w:tcW w:w="3464" w:type="dxa"/>
            <w:vAlign w:val="center"/>
          </w:tcPr>
          <w:p>
            <w:pPr>
              <w:pStyle w:val="14"/>
            </w:pPr>
            <w:r>
              <w:t>三级指标</w:t>
            </w:r>
          </w:p>
        </w:tc>
        <w:tc>
          <w:tcPr>
            <w:tcW w:w="3789" w:type="dxa"/>
            <w:vAlign w:val="center"/>
          </w:tcPr>
          <w:p>
            <w:pPr>
              <w:pStyle w:val="14"/>
            </w:pPr>
            <w:r>
              <w:t>绩效指标描述</w:t>
            </w:r>
          </w:p>
        </w:tc>
        <w:tc>
          <w:tcPr>
            <w:tcW w:w="1902" w:type="dxa"/>
            <w:vAlign w:val="center"/>
          </w:tcPr>
          <w:p>
            <w:pPr>
              <w:pStyle w:val="14"/>
            </w:pPr>
            <w:r>
              <w:t>指标值</w:t>
            </w:r>
          </w:p>
        </w:tc>
        <w:tc>
          <w:tcPr>
            <w:tcW w:w="1582" w:type="dxa"/>
            <w:vAlign w:val="center"/>
          </w:tcPr>
          <w:p>
            <w:pPr>
              <w:pStyle w:val="14"/>
            </w:pPr>
            <w:r>
              <w:t>指标值确定依据</w:t>
            </w:r>
          </w:p>
        </w:tc>
      </w:tr>
      <w:tr>
        <w:trPr>
          <w:trHeight w:val="397" w:hRule="atLeast"/>
          <w:jc w:val="center"/>
        </w:trPr>
        <w:tc>
          <w:tcPr>
            <w:tcW w:w="1585" w:type="dxa"/>
            <w:vMerge w:val="restart"/>
            <w:vAlign w:val="center"/>
          </w:tcPr>
          <w:p>
            <w:pPr>
              <w:pStyle w:val="17"/>
            </w:pPr>
            <w:r>
              <w:t>产出指标</w:t>
            </w:r>
          </w:p>
        </w:tc>
        <w:tc>
          <w:tcPr>
            <w:tcW w:w="2474" w:type="dxa"/>
            <w:vAlign w:val="center"/>
          </w:tcPr>
          <w:p>
            <w:pPr>
              <w:pStyle w:val="16"/>
            </w:pPr>
            <w:r>
              <w:t>数量指标</w:t>
            </w:r>
          </w:p>
        </w:tc>
        <w:tc>
          <w:tcPr>
            <w:tcW w:w="3464" w:type="dxa"/>
            <w:vAlign w:val="center"/>
          </w:tcPr>
          <w:p>
            <w:pPr>
              <w:pStyle w:val="16"/>
            </w:pPr>
            <w:r>
              <w:t>户外广告及招牌设施专项城市设计面积</w:t>
            </w:r>
          </w:p>
        </w:tc>
        <w:tc>
          <w:tcPr>
            <w:tcW w:w="3789" w:type="dxa"/>
            <w:vAlign w:val="center"/>
          </w:tcPr>
          <w:p>
            <w:pPr>
              <w:pStyle w:val="16"/>
            </w:pPr>
            <w:r>
              <w:t>考察户外广告及招牌设施专项城市设计面积情况</w:t>
            </w:r>
          </w:p>
        </w:tc>
        <w:tc>
          <w:tcPr>
            <w:tcW w:w="1902" w:type="dxa"/>
            <w:vAlign w:val="center"/>
          </w:tcPr>
          <w:p>
            <w:pPr>
              <w:pStyle w:val="16"/>
            </w:pPr>
            <w:r>
              <w:t>234.6公顷</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数量指标</w:t>
            </w:r>
          </w:p>
        </w:tc>
        <w:tc>
          <w:tcPr>
            <w:tcW w:w="3464" w:type="dxa"/>
            <w:vAlign w:val="center"/>
          </w:tcPr>
          <w:p>
            <w:pPr>
              <w:pStyle w:val="16"/>
            </w:pPr>
            <w:r>
              <w:t>编制成果文件数量</w:t>
            </w:r>
          </w:p>
        </w:tc>
        <w:tc>
          <w:tcPr>
            <w:tcW w:w="3789" w:type="dxa"/>
            <w:vAlign w:val="center"/>
          </w:tcPr>
          <w:p>
            <w:pPr>
              <w:pStyle w:val="16"/>
            </w:pPr>
            <w:r>
              <w:t>编制《廊坊临空经济区航企服务岛北区户外广告与招牌设施专项城市设计》说明书及图纸和效果图</w:t>
            </w:r>
          </w:p>
        </w:tc>
        <w:tc>
          <w:tcPr>
            <w:tcW w:w="1902" w:type="dxa"/>
            <w:vAlign w:val="center"/>
          </w:tcPr>
          <w:p>
            <w:pPr>
              <w:pStyle w:val="16"/>
            </w:pPr>
            <w:r>
              <w:t>3套</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质量指标</w:t>
            </w:r>
          </w:p>
        </w:tc>
        <w:tc>
          <w:tcPr>
            <w:tcW w:w="3464" w:type="dxa"/>
            <w:vAlign w:val="center"/>
          </w:tcPr>
          <w:p>
            <w:pPr>
              <w:pStyle w:val="16"/>
            </w:pPr>
            <w:r>
              <w:t>户外广告及招牌设施专项城市设计覆盖率</w:t>
            </w:r>
          </w:p>
        </w:tc>
        <w:tc>
          <w:tcPr>
            <w:tcW w:w="3789" w:type="dxa"/>
            <w:vAlign w:val="center"/>
          </w:tcPr>
          <w:p>
            <w:pPr>
              <w:pStyle w:val="16"/>
            </w:pPr>
            <w:r>
              <w:t>户外广告及招牌设施专项城市设计实际覆盖面积/户外广告及招牌设施专项城市设计计划面积*100%</w:t>
            </w:r>
          </w:p>
        </w:tc>
        <w:tc>
          <w:tcPr>
            <w:tcW w:w="1902" w:type="dxa"/>
            <w:vAlign w:val="center"/>
          </w:tcPr>
          <w:p>
            <w:pPr>
              <w:pStyle w:val="16"/>
            </w:pPr>
            <w:r>
              <w:t>100%</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质量指标</w:t>
            </w:r>
          </w:p>
        </w:tc>
        <w:tc>
          <w:tcPr>
            <w:tcW w:w="3464" w:type="dxa"/>
            <w:vAlign w:val="center"/>
          </w:tcPr>
          <w:p>
            <w:pPr>
              <w:pStyle w:val="16"/>
            </w:pPr>
            <w:r>
              <w:t>户外广告及招牌设施专项城市设计成果利用率</w:t>
            </w:r>
          </w:p>
        </w:tc>
        <w:tc>
          <w:tcPr>
            <w:tcW w:w="3789" w:type="dxa"/>
            <w:vAlign w:val="center"/>
          </w:tcPr>
          <w:p>
            <w:pPr>
              <w:pStyle w:val="16"/>
            </w:pPr>
            <w:r>
              <w:t>户外广告及招牌设施专项城市设计成果被利用数量/户外广告及招牌设施专项城市设计成果总数量*100%</w:t>
            </w:r>
          </w:p>
        </w:tc>
        <w:tc>
          <w:tcPr>
            <w:tcW w:w="1902" w:type="dxa"/>
            <w:vAlign w:val="center"/>
          </w:tcPr>
          <w:p>
            <w:pPr>
              <w:pStyle w:val="16"/>
            </w:pPr>
            <w:r>
              <w:t>100%</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时效指标</w:t>
            </w:r>
          </w:p>
        </w:tc>
        <w:tc>
          <w:tcPr>
            <w:tcW w:w="3464" w:type="dxa"/>
            <w:vAlign w:val="center"/>
          </w:tcPr>
          <w:p>
            <w:pPr>
              <w:pStyle w:val="16"/>
            </w:pPr>
            <w:r>
              <w:t>户外广告及招牌设施专项城市设计完成及时率</w:t>
            </w:r>
          </w:p>
        </w:tc>
        <w:tc>
          <w:tcPr>
            <w:tcW w:w="3789" w:type="dxa"/>
            <w:vAlign w:val="center"/>
          </w:tcPr>
          <w:p>
            <w:pPr>
              <w:pStyle w:val="16"/>
            </w:pPr>
            <w:r>
              <w:t>户外广告及招牌设施专项城市设计成果完成及时数量/户外广告及招牌设施专项城市设计成果总数量*100%</w:t>
            </w:r>
          </w:p>
        </w:tc>
        <w:tc>
          <w:tcPr>
            <w:tcW w:w="1902" w:type="dxa"/>
            <w:vAlign w:val="center"/>
          </w:tcPr>
          <w:p>
            <w:pPr>
              <w:pStyle w:val="16"/>
            </w:pPr>
            <w:r>
              <w:t>100%</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成本指标</w:t>
            </w:r>
          </w:p>
        </w:tc>
        <w:tc>
          <w:tcPr>
            <w:tcW w:w="3464" w:type="dxa"/>
            <w:vAlign w:val="center"/>
          </w:tcPr>
          <w:p>
            <w:pPr>
              <w:pStyle w:val="16"/>
            </w:pPr>
            <w:r>
              <w:t>设计费平均成本</w:t>
            </w:r>
          </w:p>
        </w:tc>
        <w:tc>
          <w:tcPr>
            <w:tcW w:w="3789" w:type="dxa"/>
            <w:vAlign w:val="center"/>
          </w:tcPr>
          <w:p>
            <w:pPr>
              <w:pStyle w:val="16"/>
            </w:pPr>
            <w:r>
              <w:t>考察设计费平均成本控制情况</w:t>
            </w:r>
          </w:p>
        </w:tc>
        <w:tc>
          <w:tcPr>
            <w:tcW w:w="1902" w:type="dxa"/>
            <w:vAlign w:val="center"/>
          </w:tcPr>
          <w:p>
            <w:pPr>
              <w:pStyle w:val="16"/>
            </w:pPr>
            <w:r>
              <w:t>≤0.39万元/公顷</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成本指标</w:t>
            </w:r>
          </w:p>
        </w:tc>
        <w:tc>
          <w:tcPr>
            <w:tcW w:w="3464" w:type="dxa"/>
            <w:vAlign w:val="center"/>
          </w:tcPr>
          <w:p>
            <w:pPr>
              <w:pStyle w:val="16"/>
            </w:pPr>
            <w:r>
              <w:t>项目总成本</w:t>
            </w:r>
          </w:p>
        </w:tc>
        <w:tc>
          <w:tcPr>
            <w:tcW w:w="3789" w:type="dxa"/>
            <w:vAlign w:val="center"/>
          </w:tcPr>
          <w:p>
            <w:pPr>
              <w:pStyle w:val="16"/>
            </w:pPr>
            <w:r>
              <w:t>考察项目总成本控制情况</w:t>
            </w:r>
          </w:p>
        </w:tc>
        <w:tc>
          <w:tcPr>
            <w:tcW w:w="1902" w:type="dxa"/>
            <w:vAlign w:val="center"/>
          </w:tcPr>
          <w:p>
            <w:pPr>
              <w:pStyle w:val="16"/>
            </w:pPr>
            <w:r>
              <w:t>≤80万元</w:t>
            </w:r>
          </w:p>
        </w:tc>
        <w:tc>
          <w:tcPr>
            <w:tcW w:w="1582" w:type="dxa"/>
            <w:vAlign w:val="center"/>
          </w:tcPr>
          <w:p>
            <w:pPr>
              <w:pStyle w:val="16"/>
            </w:pPr>
            <w:r>
              <w:t>工作计划</w:t>
            </w:r>
          </w:p>
        </w:tc>
      </w:tr>
      <w:tr>
        <w:trPr>
          <w:trHeight w:val="397" w:hRule="atLeast"/>
          <w:jc w:val="center"/>
        </w:trPr>
        <w:tc>
          <w:tcPr>
            <w:tcW w:w="1585" w:type="dxa"/>
            <w:vMerge w:val="restart"/>
            <w:vAlign w:val="center"/>
          </w:tcPr>
          <w:p>
            <w:pPr>
              <w:pStyle w:val="17"/>
            </w:pPr>
            <w:r>
              <w:t>效益指标</w:t>
            </w:r>
          </w:p>
        </w:tc>
        <w:tc>
          <w:tcPr>
            <w:tcW w:w="2474" w:type="dxa"/>
            <w:vAlign w:val="center"/>
          </w:tcPr>
          <w:p>
            <w:pPr>
              <w:pStyle w:val="16"/>
            </w:pPr>
            <w:r>
              <w:t>社会效益指标</w:t>
            </w:r>
          </w:p>
        </w:tc>
        <w:tc>
          <w:tcPr>
            <w:tcW w:w="3464" w:type="dxa"/>
            <w:vAlign w:val="center"/>
          </w:tcPr>
          <w:p>
            <w:pPr>
              <w:pStyle w:val="16"/>
            </w:pPr>
            <w:r>
              <w:t>提供管理户外广告及招牌设施依据</w:t>
            </w:r>
          </w:p>
        </w:tc>
        <w:tc>
          <w:tcPr>
            <w:tcW w:w="3789" w:type="dxa"/>
            <w:vAlign w:val="center"/>
          </w:tcPr>
          <w:p>
            <w:pPr>
              <w:pStyle w:val="16"/>
            </w:pPr>
            <w:r>
              <w:t>提供管理户外广告及招牌设施依据</w:t>
            </w:r>
          </w:p>
        </w:tc>
        <w:tc>
          <w:tcPr>
            <w:tcW w:w="1902" w:type="dxa"/>
            <w:vAlign w:val="center"/>
          </w:tcPr>
          <w:p>
            <w:pPr>
              <w:pStyle w:val="16"/>
            </w:pPr>
            <w:r>
              <w:t>提供依据</w:t>
            </w:r>
          </w:p>
        </w:tc>
        <w:tc>
          <w:tcPr>
            <w:tcW w:w="1582" w:type="dxa"/>
            <w:vAlign w:val="center"/>
          </w:tcPr>
          <w:p>
            <w:pPr>
              <w:pStyle w:val="16"/>
            </w:pPr>
            <w:r>
              <w:t>工作计划</w:t>
            </w:r>
          </w:p>
        </w:tc>
      </w:tr>
      <w:tr>
        <w:trPr>
          <w:trHeight w:val="397" w:hRule="atLeast"/>
          <w:jc w:val="center"/>
        </w:trPr>
        <w:tc>
          <w:tcPr>
            <w:tcW w:w="1585" w:type="dxa"/>
            <w:vMerge w:val="continue"/>
            <w:vAlign w:val="center"/>
          </w:tcPr>
          <w:p/>
        </w:tc>
        <w:tc>
          <w:tcPr>
            <w:tcW w:w="2474" w:type="dxa"/>
            <w:vAlign w:val="center"/>
          </w:tcPr>
          <w:p>
            <w:pPr>
              <w:pStyle w:val="16"/>
            </w:pPr>
            <w:r>
              <w:t>社会效益指标</w:t>
            </w:r>
          </w:p>
        </w:tc>
        <w:tc>
          <w:tcPr>
            <w:tcW w:w="3464" w:type="dxa"/>
            <w:vAlign w:val="center"/>
          </w:tcPr>
          <w:p>
            <w:pPr>
              <w:pStyle w:val="16"/>
            </w:pPr>
            <w:r>
              <w:t>提高营造良好营商和公益宣传环境能力</w:t>
            </w:r>
          </w:p>
        </w:tc>
        <w:tc>
          <w:tcPr>
            <w:tcW w:w="3789" w:type="dxa"/>
            <w:vAlign w:val="center"/>
          </w:tcPr>
          <w:p>
            <w:pPr>
              <w:pStyle w:val="16"/>
            </w:pPr>
            <w:r>
              <w:t>提高营造良好营商和公益宣传环境能力</w:t>
            </w:r>
          </w:p>
        </w:tc>
        <w:tc>
          <w:tcPr>
            <w:tcW w:w="1902" w:type="dxa"/>
            <w:vAlign w:val="center"/>
          </w:tcPr>
          <w:p>
            <w:pPr>
              <w:pStyle w:val="16"/>
            </w:pPr>
            <w:r>
              <w:t>提高</w:t>
            </w:r>
          </w:p>
        </w:tc>
        <w:tc>
          <w:tcPr>
            <w:tcW w:w="1582" w:type="dxa"/>
            <w:vAlign w:val="center"/>
          </w:tcPr>
          <w:p>
            <w:pPr>
              <w:pStyle w:val="16"/>
            </w:pPr>
            <w:r>
              <w:t>工作计划</w:t>
            </w:r>
          </w:p>
        </w:tc>
      </w:tr>
      <w:tr>
        <w:trPr>
          <w:trHeight w:val="397" w:hRule="atLeast"/>
          <w:jc w:val="center"/>
        </w:trPr>
        <w:tc>
          <w:tcPr>
            <w:tcW w:w="1585" w:type="dxa"/>
            <w:vAlign w:val="center"/>
          </w:tcPr>
          <w:p>
            <w:pPr>
              <w:pStyle w:val="17"/>
            </w:pPr>
            <w:r>
              <w:t>满意度指标</w:t>
            </w:r>
          </w:p>
        </w:tc>
        <w:tc>
          <w:tcPr>
            <w:tcW w:w="2474" w:type="dxa"/>
            <w:vAlign w:val="center"/>
          </w:tcPr>
          <w:p>
            <w:pPr>
              <w:pStyle w:val="16"/>
            </w:pPr>
            <w:r>
              <w:t>服务对象满意度指标</w:t>
            </w:r>
          </w:p>
        </w:tc>
        <w:tc>
          <w:tcPr>
            <w:tcW w:w="3464" w:type="dxa"/>
            <w:vAlign w:val="center"/>
          </w:tcPr>
          <w:p>
            <w:pPr>
              <w:pStyle w:val="16"/>
            </w:pPr>
            <w:r>
              <w:t>项目组工作人员满意度</w:t>
            </w:r>
          </w:p>
        </w:tc>
        <w:tc>
          <w:tcPr>
            <w:tcW w:w="3789" w:type="dxa"/>
            <w:vAlign w:val="center"/>
          </w:tcPr>
          <w:p>
            <w:pPr>
              <w:pStyle w:val="16"/>
            </w:pPr>
            <w:r>
              <w:t>项目组工作人员对设计成果满意人数/调查总人数*100%</w:t>
            </w:r>
          </w:p>
        </w:tc>
        <w:tc>
          <w:tcPr>
            <w:tcW w:w="1902" w:type="dxa"/>
            <w:vAlign w:val="center"/>
          </w:tcPr>
          <w:p>
            <w:pPr>
              <w:pStyle w:val="16"/>
            </w:pPr>
            <w:r>
              <w:t>≥90%</w:t>
            </w:r>
          </w:p>
        </w:tc>
        <w:tc>
          <w:tcPr>
            <w:tcW w:w="1582"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、基层党建经费绩效目标表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rPr>
                <w:lang w:eastAsia="zh-CN"/>
              </w:rPr>
            </w:pPr>
            <w:r>
              <w:t>1.进一步加强廊坊临空经济区党的组织建设和制度建设，强化党总揽全局、党建统领全域的思维切实把抓党建的出发点落到优服务上、着力点落到提实效上、聚焦点落到促发展上，全力抓好党建创新、党建指引，打造临空党建特色品牌形象，奋力谱写廊坊临空经济区发展的新篇章。</w:t>
            </w:r>
          </w:p>
          <w:p>
            <w:pPr>
              <w:pStyle w:val="16"/>
            </w:pPr>
            <w:r>
              <w:t>2.全年组织好党员教育、优秀党员表彰活动，激励典型、突出优秀党员的带头作用，提升临空经济区党员思想水平，巩固好党员“桥头堡”作用。</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活动场次</w:t>
            </w:r>
          </w:p>
        </w:tc>
        <w:tc>
          <w:tcPr>
            <w:tcW w:w="2835" w:type="dxa"/>
            <w:vAlign w:val="center"/>
          </w:tcPr>
          <w:p>
            <w:pPr>
              <w:pStyle w:val="16"/>
            </w:pPr>
            <w:r>
              <w:t>举办活动次数</w:t>
            </w:r>
          </w:p>
        </w:tc>
        <w:tc>
          <w:tcPr>
            <w:tcW w:w="2551" w:type="dxa"/>
            <w:vAlign w:val="center"/>
          </w:tcPr>
          <w:p>
            <w:pPr>
              <w:pStyle w:val="16"/>
            </w:pPr>
            <w:r>
              <w:t>1次</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宣传素材质量合格率</w:t>
            </w:r>
          </w:p>
        </w:tc>
        <w:tc>
          <w:tcPr>
            <w:tcW w:w="2835" w:type="dxa"/>
            <w:vAlign w:val="center"/>
          </w:tcPr>
          <w:p>
            <w:pPr>
              <w:pStyle w:val="16"/>
            </w:pPr>
            <w:r>
              <w:t>质量合格素材数/总素材数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活动按时完成率</w:t>
            </w:r>
          </w:p>
        </w:tc>
        <w:tc>
          <w:tcPr>
            <w:tcW w:w="2835" w:type="dxa"/>
            <w:vAlign w:val="center"/>
          </w:tcPr>
          <w:p>
            <w:pPr>
              <w:pStyle w:val="16"/>
            </w:pPr>
            <w:r>
              <w:t>时间节点及时开办相关活动</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活动物料</w:t>
            </w:r>
          </w:p>
        </w:tc>
        <w:tc>
          <w:tcPr>
            <w:tcW w:w="2835" w:type="dxa"/>
            <w:vAlign w:val="center"/>
          </w:tcPr>
          <w:p>
            <w:pPr>
              <w:pStyle w:val="16"/>
            </w:pPr>
            <w:r>
              <w:t>表彰奖品物料</w:t>
            </w:r>
          </w:p>
        </w:tc>
        <w:tc>
          <w:tcPr>
            <w:tcW w:w="2551" w:type="dxa"/>
            <w:vAlign w:val="center"/>
          </w:tcPr>
          <w:p>
            <w:pPr>
              <w:pStyle w:val="16"/>
            </w:pPr>
            <w:r>
              <w:t>≤3万元</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党建工作成果</w:t>
            </w:r>
          </w:p>
        </w:tc>
        <w:tc>
          <w:tcPr>
            <w:tcW w:w="2835" w:type="dxa"/>
            <w:vAlign w:val="center"/>
          </w:tcPr>
          <w:p>
            <w:pPr>
              <w:pStyle w:val="16"/>
            </w:pPr>
            <w:r>
              <w:t>增强临空经济区党建工作成绩，提升入党积极性。</w:t>
            </w:r>
          </w:p>
        </w:tc>
        <w:tc>
          <w:tcPr>
            <w:tcW w:w="2551" w:type="dxa"/>
            <w:vAlign w:val="center"/>
          </w:tcPr>
          <w:p>
            <w:pPr>
              <w:pStyle w:val="16"/>
            </w:pPr>
            <w:r>
              <w:t>提高</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参加活动人员对活动效果满意度（%）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、机房及视频会议室建设资金绩效目标表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1.提高财政服务及管理水平，保障部门高效运转。</w:t>
            </w:r>
          </w:p>
          <w:p>
            <w:pPr>
              <w:pStyle w:val="16"/>
            </w:pPr>
            <w:r>
              <w:t>2.提高财政服务及管理水平，保障部门高效运转。</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机房会议系统</w:t>
            </w:r>
          </w:p>
        </w:tc>
        <w:tc>
          <w:tcPr>
            <w:tcW w:w="2835" w:type="dxa"/>
            <w:vAlign w:val="center"/>
          </w:tcPr>
          <w:p>
            <w:pPr>
              <w:pStyle w:val="16"/>
            </w:pPr>
            <w:r>
              <w:t>建设机房会议系统</w:t>
            </w:r>
          </w:p>
        </w:tc>
        <w:tc>
          <w:tcPr>
            <w:tcW w:w="2551" w:type="dxa"/>
            <w:vAlign w:val="center"/>
          </w:tcPr>
          <w:p>
            <w:pPr>
              <w:pStyle w:val="16"/>
            </w:pPr>
            <w:r>
              <w:t>1套</w:t>
            </w:r>
          </w:p>
        </w:tc>
        <w:tc>
          <w:tcPr>
            <w:tcW w:w="2268" w:type="dxa"/>
            <w:vAlign w:val="center"/>
          </w:tcPr>
          <w:p>
            <w:pPr>
              <w:pStyle w:val="16"/>
            </w:pPr>
            <w:r>
              <w:t>临空经济区财政支付中心网络系统建设方案</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2835" w:type="dxa"/>
            <w:vAlign w:val="center"/>
          </w:tcPr>
          <w:p>
            <w:pPr>
              <w:pStyle w:val="16"/>
              <w:rPr>
                <w:rFonts w:hint="eastAsia" w:eastAsia="方正书宋_GBK"/>
                <w:lang w:val="en-US" w:eastAsia="zh-CN"/>
              </w:rPr>
            </w:pPr>
            <w:r>
              <w:t>合格工程量占总工程量的比</w:t>
            </w:r>
            <w:r>
              <w:rPr>
                <w:rFonts w:hint="eastAsia"/>
                <w:lang w:val="en-US" w:eastAsia="zh-CN"/>
              </w:rPr>
              <w:t>例</w:t>
            </w:r>
          </w:p>
        </w:tc>
        <w:tc>
          <w:tcPr>
            <w:tcW w:w="2551" w:type="dxa"/>
            <w:vAlign w:val="center"/>
          </w:tcPr>
          <w:p>
            <w:pPr>
              <w:pStyle w:val="16"/>
            </w:pPr>
            <w:r>
              <w:t>100%</w:t>
            </w:r>
          </w:p>
        </w:tc>
        <w:tc>
          <w:tcPr>
            <w:tcW w:w="2268" w:type="dxa"/>
            <w:vAlign w:val="center"/>
          </w:tcPr>
          <w:p>
            <w:pPr>
              <w:pStyle w:val="16"/>
            </w:pPr>
            <w:r>
              <w:t>临空经济区财政支付中心网络系统建设方案</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机房建设完成及时情况</w:t>
            </w:r>
          </w:p>
        </w:tc>
        <w:tc>
          <w:tcPr>
            <w:tcW w:w="2835" w:type="dxa"/>
            <w:vAlign w:val="center"/>
          </w:tcPr>
          <w:p>
            <w:pPr>
              <w:pStyle w:val="16"/>
            </w:pPr>
            <w:r>
              <w:t>2023年机房建设完成，达到财政应用水平</w:t>
            </w:r>
          </w:p>
        </w:tc>
        <w:tc>
          <w:tcPr>
            <w:tcW w:w="2551" w:type="dxa"/>
            <w:vAlign w:val="center"/>
          </w:tcPr>
          <w:p>
            <w:pPr>
              <w:pStyle w:val="16"/>
            </w:pPr>
            <w:r>
              <w:t>2023年6月份前</w:t>
            </w:r>
          </w:p>
        </w:tc>
        <w:tc>
          <w:tcPr>
            <w:tcW w:w="2268" w:type="dxa"/>
            <w:vAlign w:val="center"/>
          </w:tcPr>
          <w:p>
            <w:pPr>
              <w:pStyle w:val="16"/>
            </w:pPr>
            <w:r>
              <w:t>临空经济区财政支付中心网络系统建设方案</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单位购置成本</w:t>
            </w:r>
          </w:p>
        </w:tc>
        <w:tc>
          <w:tcPr>
            <w:tcW w:w="2835" w:type="dxa"/>
            <w:vAlign w:val="center"/>
          </w:tcPr>
          <w:p>
            <w:pPr>
              <w:pStyle w:val="16"/>
            </w:pPr>
            <w:r>
              <w:t>单位购置成本</w:t>
            </w:r>
          </w:p>
        </w:tc>
        <w:tc>
          <w:tcPr>
            <w:tcW w:w="2551" w:type="dxa"/>
            <w:vAlign w:val="center"/>
          </w:tcPr>
          <w:p>
            <w:pPr>
              <w:pStyle w:val="16"/>
            </w:pPr>
            <w:r>
              <w:t>≤26.02万元</w:t>
            </w:r>
          </w:p>
        </w:tc>
        <w:tc>
          <w:tcPr>
            <w:tcW w:w="2268" w:type="dxa"/>
            <w:vAlign w:val="center"/>
          </w:tcPr>
          <w:p>
            <w:pPr>
              <w:pStyle w:val="16"/>
            </w:pPr>
            <w:r>
              <w:t>临空经济区财政支付中心网络系统建设方案</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在无人为破坏的情况下，一直使用</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提升公共服务水平</w:t>
            </w:r>
          </w:p>
        </w:tc>
        <w:tc>
          <w:tcPr>
            <w:tcW w:w="2551" w:type="dxa"/>
            <w:vAlign w:val="center"/>
          </w:tcPr>
          <w:p>
            <w:pPr>
              <w:pStyle w:val="16"/>
            </w:pPr>
            <w:r>
              <w:t>提升</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收益群体满意度</w:t>
            </w:r>
          </w:p>
        </w:tc>
        <w:tc>
          <w:tcPr>
            <w:tcW w:w="2835" w:type="dxa"/>
            <w:vAlign w:val="center"/>
          </w:tcPr>
          <w:p>
            <w:pPr>
              <w:pStyle w:val="16"/>
            </w:pPr>
            <w:r>
              <w:t>收益群体满意度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69</w:t>
      </w:r>
      <w:r>
        <w:rPr>
          <w:rFonts w:ascii="方正仿宋_GBK" w:hAnsi="方正仿宋_GBK" w:eastAsia="方正仿宋_GBK" w:cs="方正仿宋_GBK"/>
          <w:b/>
          <w:color w:val="000000"/>
          <w:sz w:val="28"/>
        </w:rPr>
        <w:t>、集团建设运营补贴绩效目标表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1.提升河北临空集团资信度，更好的完成临空区开发建设，提升临空区居民生活水平。</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补贴发放企业数</w:t>
            </w:r>
          </w:p>
        </w:tc>
        <w:tc>
          <w:tcPr>
            <w:tcW w:w="2835" w:type="dxa"/>
            <w:vAlign w:val="center"/>
          </w:tcPr>
          <w:p>
            <w:pPr>
              <w:pStyle w:val="16"/>
            </w:pPr>
            <w:r>
              <w:t>补贴发放企业数</w:t>
            </w:r>
          </w:p>
        </w:tc>
        <w:tc>
          <w:tcPr>
            <w:tcW w:w="2551" w:type="dxa"/>
            <w:vAlign w:val="center"/>
          </w:tcPr>
          <w:p>
            <w:pPr>
              <w:pStyle w:val="16"/>
            </w:pPr>
            <w:r>
              <w:t>1个</w:t>
            </w:r>
          </w:p>
        </w:tc>
        <w:tc>
          <w:tcPr>
            <w:tcW w:w="2268" w:type="dxa"/>
            <w:vAlign w:val="center"/>
          </w:tcPr>
          <w:p>
            <w:pPr>
              <w:pStyle w:val="16"/>
            </w:pPr>
            <w:r>
              <w:t>整合方案</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补贴发放覆盖率</w:t>
            </w:r>
          </w:p>
        </w:tc>
        <w:tc>
          <w:tcPr>
            <w:tcW w:w="2835" w:type="dxa"/>
            <w:vAlign w:val="center"/>
          </w:tcPr>
          <w:p>
            <w:pPr>
              <w:pStyle w:val="16"/>
            </w:pPr>
            <w:r>
              <w:t>补贴发放覆盖率</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企业补助标准</w:t>
            </w:r>
          </w:p>
        </w:tc>
        <w:tc>
          <w:tcPr>
            <w:tcW w:w="2835" w:type="dxa"/>
            <w:vAlign w:val="center"/>
          </w:tcPr>
          <w:p>
            <w:pPr>
              <w:pStyle w:val="16"/>
            </w:pPr>
            <w:r>
              <w:t>企业补助标准</w:t>
            </w:r>
          </w:p>
        </w:tc>
        <w:tc>
          <w:tcPr>
            <w:tcW w:w="2551" w:type="dxa"/>
            <w:vAlign w:val="center"/>
          </w:tcPr>
          <w:p>
            <w:pPr>
              <w:pStyle w:val="16"/>
            </w:pPr>
            <w:r>
              <w:t>≤10000万元</w:t>
            </w:r>
          </w:p>
        </w:tc>
        <w:tc>
          <w:tcPr>
            <w:tcW w:w="2268" w:type="dxa"/>
            <w:vAlign w:val="center"/>
          </w:tcPr>
          <w:p>
            <w:pPr>
              <w:pStyle w:val="16"/>
            </w:pPr>
            <w:r>
              <w:t>整合方案</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补贴及时率</w:t>
            </w:r>
          </w:p>
        </w:tc>
        <w:tc>
          <w:tcPr>
            <w:tcW w:w="2835" w:type="dxa"/>
            <w:vAlign w:val="center"/>
          </w:tcPr>
          <w:p>
            <w:pPr>
              <w:pStyle w:val="16"/>
            </w:pPr>
            <w:r>
              <w:t>补贴发放及时率</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拉动地方经济发展</w:t>
            </w:r>
          </w:p>
        </w:tc>
        <w:tc>
          <w:tcPr>
            <w:tcW w:w="2835" w:type="dxa"/>
            <w:vAlign w:val="center"/>
          </w:tcPr>
          <w:p>
            <w:pPr>
              <w:pStyle w:val="16"/>
            </w:pPr>
            <w:r>
              <w:t>通过政府补贴，带动却经济发展</w:t>
            </w:r>
          </w:p>
        </w:tc>
        <w:tc>
          <w:tcPr>
            <w:tcW w:w="2551" w:type="dxa"/>
            <w:vAlign w:val="center"/>
          </w:tcPr>
          <w:p>
            <w:pPr>
              <w:pStyle w:val="16"/>
            </w:pPr>
            <w:r>
              <w:t>带动</w:t>
            </w:r>
          </w:p>
        </w:tc>
        <w:tc>
          <w:tcPr>
            <w:tcW w:w="2268" w:type="dxa"/>
            <w:vAlign w:val="center"/>
          </w:tcPr>
          <w:p>
            <w:pPr>
              <w:pStyle w:val="16"/>
            </w:pPr>
            <w:r>
              <w:t>整合方案</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提升企业资信度</w:t>
            </w:r>
          </w:p>
        </w:tc>
        <w:tc>
          <w:tcPr>
            <w:tcW w:w="2835" w:type="dxa"/>
            <w:vAlign w:val="center"/>
          </w:tcPr>
          <w:p>
            <w:pPr>
              <w:pStyle w:val="16"/>
            </w:pPr>
            <w:r>
              <w:t>提升企业资信度</w:t>
            </w:r>
          </w:p>
        </w:tc>
        <w:tc>
          <w:tcPr>
            <w:tcW w:w="2551" w:type="dxa"/>
            <w:vAlign w:val="center"/>
          </w:tcPr>
          <w:p>
            <w:pPr>
              <w:pStyle w:val="16"/>
            </w:pPr>
            <w:r>
              <w:t>提升</w:t>
            </w:r>
          </w:p>
        </w:tc>
        <w:tc>
          <w:tcPr>
            <w:tcW w:w="2268" w:type="dxa"/>
            <w:vAlign w:val="center"/>
          </w:tcPr>
          <w:p>
            <w:pPr>
              <w:pStyle w:val="16"/>
            </w:pPr>
            <w:r>
              <w:t>整合方案</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受补助企业满意度</w:t>
            </w:r>
          </w:p>
        </w:tc>
        <w:tc>
          <w:tcPr>
            <w:tcW w:w="2835" w:type="dxa"/>
            <w:vAlign w:val="center"/>
          </w:tcPr>
          <w:p>
            <w:pPr>
              <w:pStyle w:val="16"/>
            </w:pPr>
            <w:r>
              <w:t>受补助企业满意度</w:t>
            </w:r>
          </w:p>
        </w:tc>
        <w:tc>
          <w:tcPr>
            <w:tcW w:w="2551" w:type="dxa"/>
            <w:vAlign w:val="center"/>
          </w:tcPr>
          <w:p>
            <w:pPr>
              <w:pStyle w:val="16"/>
            </w:pPr>
            <w:r>
              <w:t>≥100%</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、集团建设资金结算绩效目标表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1.根据临空集团建设项目进度，据实核算建设资金，保障临空经济区建设的顺利实施。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临空集团完成征迁工作数量</w:t>
            </w:r>
          </w:p>
        </w:tc>
        <w:tc>
          <w:tcPr>
            <w:tcW w:w="2835" w:type="dxa"/>
            <w:vAlign w:val="center"/>
          </w:tcPr>
          <w:p>
            <w:pPr>
              <w:pStyle w:val="16"/>
            </w:pPr>
            <w:r>
              <w:t>临空集团完成征迁工作数量</w:t>
            </w:r>
          </w:p>
        </w:tc>
        <w:tc>
          <w:tcPr>
            <w:tcW w:w="2551" w:type="dxa"/>
            <w:vAlign w:val="center"/>
          </w:tcPr>
          <w:p>
            <w:pPr>
              <w:pStyle w:val="16"/>
            </w:pPr>
            <w:r>
              <w:t>≥20个</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计划完成率</w:t>
            </w:r>
          </w:p>
        </w:tc>
        <w:tc>
          <w:tcPr>
            <w:tcW w:w="2835" w:type="dxa"/>
            <w:vAlign w:val="center"/>
          </w:tcPr>
          <w:p>
            <w:pPr>
              <w:pStyle w:val="16"/>
            </w:pPr>
            <w:r>
              <w:t>计划完成率</w:t>
            </w:r>
          </w:p>
        </w:tc>
        <w:tc>
          <w:tcPr>
            <w:tcW w:w="2551" w:type="dxa"/>
            <w:vAlign w:val="center"/>
          </w:tcPr>
          <w:p>
            <w:pPr>
              <w:pStyle w:val="16"/>
            </w:pPr>
            <w:r>
              <w:t>≥95%</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及时支付</w:t>
            </w:r>
          </w:p>
        </w:tc>
        <w:tc>
          <w:tcPr>
            <w:tcW w:w="2835" w:type="dxa"/>
            <w:vAlign w:val="center"/>
          </w:tcPr>
          <w:p>
            <w:pPr>
              <w:pStyle w:val="16"/>
            </w:pPr>
            <w:r>
              <w:t>按资金支付计划及时拨付</w:t>
            </w:r>
          </w:p>
        </w:tc>
        <w:tc>
          <w:tcPr>
            <w:tcW w:w="2551" w:type="dxa"/>
            <w:vAlign w:val="center"/>
          </w:tcPr>
          <w:p>
            <w:pPr>
              <w:pStyle w:val="16"/>
            </w:pPr>
            <w:r>
              <w:t>及时</w:t>
            </w:r>
          </w:p>
        </w:tc>
        <w:tc>
          <w:tcPr>
            <w:tcW w:w="2268" w:type="dxa"/>
            <w:vAlign w:val="center"/>
          </w:tcPr>
          <w:p>
            <w:pPr>
              <w:pStyle w:val="16"/>
            </w:pPr>
            <w:r>
              <w:t>根据计划安排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≤50282万元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拉动经济效益</w:t>
            </w:r>
          </w:p>
        </w:tc>
        <w:tc>
          <w:tcPr>
            <w:tcW w:w="2835" w:type="dxa"/>
            <w:vAlign w:val="center"/>
          </w:tcPr>
          <w:p>
            <w:pPr>
              <w:pStyle w:val="16"/>
            </w:pPr>
            <w:r>
              <w:t>有效拉动临空经济区经济发展，有效维护临空经济区规划建设稳步发展</w:t>
            </w:r>
          </w:p>
        </w:tc>
        <w:tc>
          <w:tcPr>
            <w:tcW w:w="2551" w:type="dxa"/>
            <w:vAlign w:val="center"/>
          </w:tcPr>
          <w:p>
            <w:pPr>
              <w:pStyle w:val="16"/>
            </w:pPr>
            <w:r>
              <w:t>拉动</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扩大社会影响力</w:t>
            </w:r>
          </w:p>
        </w:tc>
        <w:tc>
          <w:tcPr>
            <w:tcW w:w="2835" w:type="dxa"/>
            <w:vAlign w:val="center"/>
          </w:tcPr>
          <w:p>
            <w:pPr>
              <w:pStyle w:val="16"/>
            </w:pPr>
            <w:r>
              <w:t>通过业务开展，不断扩大临空经济区（廊坊片区）社会影响力。</w:t>
            </w:r>
          </w:p>
        </w:tc>
        <w:tc>
          <w:tcPr>
            <w:tcW w:w="2551" w:type="dxa"/>
            <w:vAlign w:val="center"/>
          </w:tcPr>
          <w:p>
            <w:pPr>
              <w:pStyle w:val="16"/>
            </w:pPr>
            <w:r>
              <w:t>扩大</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、集团注册资本金绩效目标表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1.保障廊坊临空经济区规划建设项目顺利实现。</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企业数量</w:t>
            </w:r>
          </w:p>
        </w:tc>
        <w:tc>
          <w:tcPr>
            <w:tcW w:w="2835" w:type="dxa"/>
            <w:vAlign w:val="center"/>
          </w:tcPr>
          <w:p>
            <w:pPr>
              <w:pStyle w:val="16"/>
            </w:pPr>
            <w:r>
              <w:t>注册资本金注入企业数</w:t>
            </w:r>
          </w:p>
        </w:tc>
        <w:tc>
          <w:tcPr>
            <w:tcW w:w="2551" w:type="dxa"/>
            <w:vAlign w:val="center"/>
          </w:tcPr>
          <w:p>
            <w:pPr>
              <w:pStyle w:val="16"/>
            </w:pPr>
            <w:r>
              <w:t>1家</w:t>
            </w:r>
          </w:p>
        </w:tc>
        <w:tc>
          <w:tcPr>
            <w:tcW w:w="2268" w:type="dxa"/>
            <w:vAlign w:val="center"/>
          </w:tcPr>
          <w:p>
            <w:pPr>
              <w:pStyle w:val="16"/>
            </w:pPr>
            <w:r>
              <w:t>行业标准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w:t>
            </w:r>
          </w:p>
        </w:tc>
        <w:tc>
          <w:tcPr>
            <w:tcW w:w="2835" w:type="dxa"/>
            <w:vAlign w:val="center"/>
          </w:tcPr>
          <w:p>
            <w:pPr>
              <w:pStyle w:val="16"/>
            </w:pPr>
            <w:r>
              <w:t>项目完成质量</w:t>
            </w:r>
          </w:p>
        </w:tc>
        <w:tc>
          <w:tcPr>
            <w:tcW w:w="2551" w:type="dxa"/>
            <w:vAlign w:val="center"/>
          </w:tcPr>
          <w:p>
            <w:pPr>
              <w:pStyle w:val="16"/>
            </w:pPr>
            <w:r>
              <w:t>达标</w:t>
            </w:r>
          </w:p>
        </w:tc>
        <w:tc>
          <w:tcPr>
            <w:tcW w:w="2268" w:type="dxa"/>
            <w:vAlign w:val="center"/>
          </w:tcPr>
          <w:p>
            <w:pPr>
              <w:pStyle w:val="16"/>
            </w:pPr>
            <w:r>
              <w:t>行业标准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注入资金本金时间</w:t>
            </w:r>
          </w:p>
        </w:tc>
        <w:tc>
          <w:tcPr>
            <w:tcW w:w="2835" w:type="dxa"/>
            <w:vAlign w:val="center"/>
          </w:tcPr>
          <w:p>
            <w:pPr>
              <w:pStyle w:val="16"/>
            </w:pPr>
            <w:r>
              <w:t>注入资金本金时间</w:t>
            </w:r>
          </w:p>
        </w:tc>
        <w:tc>
          <w:tcPr>
            <w:tcW w:w="2551" w:type="dxa"/>
            <w:vAlign w:val="center"/>
          </w:tcPr>
          <w:p>
            <w:pPr>
              <w:pStyle w:val="16"/>
            </w:pPr>
            <w:r>
              <w:t>及时</w:t>
            </w:r>
          </w:p>
        </w:tc>
        <w:tc>
          <w:tcPr>
            <w:tcW w:w="2268" w:type="dxa"/>
            <w:vAlign w:val="center"/>
          </w:tcPr>
          <w:p>
            <w:pPr>
              <w:pStyle w:val="16"/>
            </w:pPr>
            <w:r>
              <w:t>预算下达后及时注资</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注册资本金</w:t>
            </w:r>
          </w:p>
        </w:tc>
        <w:tc>
          <w:tcPr>
            <w:tcW w:w="2835" w:type="dxa"/>
            <w:vAlign w:val="center"/>
          </w:tcPr>
          <w:p>
            <w:pPr>
              <w:pStyle w:val="16"/>
            </w:pPr>
            <w:r>
              <w:t>注册资本金金额</w:t>
            </w:r>
          </w:p>
        </w:tc>
        <w:tc>
          <w:tcPr>
            <w:tcW w:w="2551" w:type="dxa"/>
            <w:vAlign w:val="center"/>
          </w:tcPr>
          <w:p>
            <w:pPr>
              <w:pStyle w:val="16"/>
            </w:pPr>
            <w:r>
              <w:t>≤83000万元</w:t>
            </w:r>
          </w:p>
        </w:tc>
        <w:tc>
          <w:tcPr>
            <w:tcW w:w="2268" w:type="dxa"/>
            <w:vAlign w:val="center"/>
          </w:tcPr>
          <w:p>
            <w:pPr>
              <w:pStyle w:val="16"/>
            </w:pPr>
            <w:r>
              <w:t>单位标准</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知名度</w:t>
            </w:r>
          </w:p>
        </w:tc>
        <w:tc>
          <w:tcPr>
            <w:tcW w:w="2835" w:type="dxa"/>
            <w:vAlign w:val="center"/>
          </w:tcPr>
          <w:p>
            <w:pPr>
              <w:pStyle w:val="16"/>
            </w:pPr>
            <w:r>
              <w:t>廊坊在全国及全球的知名度</w:t>
            </w:r>
          </w:p>
        </w:tc>
        <w:tc>
          <w:tcPr>
            <w:tcW w:w="2551" w:type="dxa"/>
            <w:vAlign w:val="center"/>
          </w:tcPr>
          <w:p>
            <w:pPr>
              <w:pStyle w:val="16"/>
            </w:pPr>
            <w:r>
              <w:t>知名</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满意</w:t>
            </w:r>
          </w:p>
        </w:tc>
        <w:tc>
          <w:tcPr>
            <w:tcW w:w="2268" w:type="dxa"/>
            <w:vAlign w:val="center"/>
          </w:tcPr>
          <w:p>
            <w:pPr>
              <w:pStyle w:val="16"/>
            </w:pPr>
            <w:r>
              <w:t>单位标准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、建筑垃圾治理及资源化利用专项规划项目绩效目标表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1.对建筑垃圾收集运输体系、工程渣土处置、建筑垃圾资源化利用进行规划，搭建建筑垃圾管理体系。</w:t>
            </w:r>
          </w:p>
          <w:p>
            <w:pPr>
              <w:pStyle w:val="16"/>
            </w:pPr>
            <w:r>
              <w:t>2.通过项目开展，完成建筑垃圾治理及资源化利用专项规划面积46.8平方公里，搭建建筑垃圾管理体系1套，搭建建筑垃圾管理体系验收合格率、建筑垃圾治理及资源化利用专项规划体系利用率达到100%，成本控制在预算范围内，建筑垃圾安全处置率、建筑垃圾申报核准率不低于90%，保障建筑垃圾管理体系正常运转，有效防治固体废物污染环境。</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47"/>
        <w:gridCol w:w="2085"/>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847" w:type="dxa"/>
            <w:vAlign w:val="center"/>
          </w:tcPr>
          <w:p>
            <w:pPr>
              <w:pStyle w:val="14"/>
            </w:pPr>
            <w:r>
              <w:t>绩效指标描述</w:t>
            </w:r>
          </w:p>
        </w:tc>
        <w:tc>
          <w:tcPr>
            <w:tcW w:w="2085"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建筑垃圾治理及资源化利用专项规划面积</w:t>
            </w:r>
          </w:p>
        </w:tc>
        <w:tc>
          <w:tcPr>
            <w:tcW w:w="2847" w:type="dxa"/>
            <w:vAlign w:val="center"/>
          </w:tcPr>
          <w:p>
            <w:pPr>
              <w:pStyle w:val="16"/>
            </w:pPr>
            <w:r>
              <w:t>考察建筑垃圾治理及资源化利用专项规划面积完成情况</w:t>
            </w:r>
          </w:p>
        </w:tc>
        <w:tc>
          <w:tcPr>
            <w:tcW w:w="2085" w:type="dxa"/>
            <w:vAlign w:val="center"/>
          </w:tcPr>
          <w:p>
            <w:pPr>
              <w:pStyle w:val="16"/>
            </w:pPr>
            <w:r>
              <w:t>46.8平方公里</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搭建建筑垃圾管理体系</w:t>
            </w:r>
          </w:p>
        </w:tc>
        <w:tc>
          <w:tcPr>
            <w:tcW w:w="2847" w:type="dxa"/>
            <w:vAlign w:val="center"/>
          </w:tcPr>
          <w:p>
            <w:pPr>
              <w:pStyle w:val="16"/>
            </w:pPr>
            <w:r>
              <w:t>考察建筑垃圾管理体系搭建情况</w:t>
            </w:r>
          </w:p>
        </w:tc>
        <w:tc>
          <w:tcPr>
            <w:tcW w:w="2085" w:type="dxa"/>
            <w:vAlign w:val="center"/>
          </w:tcPr>
          <w:p>
            <w:pPr>
              <w:pStyle w:val="16"/>
            </w:pPr>
            <w:r>
              <w:t>1套</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搭建建筑垃圾管理体系验收合格率</w:t>
            </w:r>
          </w:p>
        </w:tc>
        <w:tc>
          <w:tcPr>
            <w:tcW w:w="2847" w:type="dxa"/>
            <w:vAlign w:val="center"/>
          </w:tcPr>
          <w:p>
            <w:pPr>
              <w:pStyle w:val="16"/>
            </w:pPr>
            <w:r>
              <w:t>搭建建筑垃圾管理体系验收合格数量/搭建建筑垃圾管理体系总数量*100%</w:t>
            </w:r>
          </w:p>
        </w:tc>
        <w:tc>
          <w:tcPr>
            <w:tcW w:w="2085"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建筑垃圾治理及资源化利用专项规划体系利用率</w:t>
            </w:r>
          </w:p>
        </w:tc>
        <w:tc>
          <w:tcPr>
            <w:tcW w:w="2847" w:type="dxa"/>
            <w:vAlign w:val="center"/>
          </w:tcPr>
          <w:p>
            <w:pPr>
              <w:pStyle w:val="16"/>
            </w:pPr>
            <w:r>
              <w:t>建筑垃圾治理及资源化利用专项规划体系使用数量/建筑垃圾治理及资源化利用专项规划体系总数量*100</w:t>
            </w:r>
          </w:p>
        </w:tc>
        <w:tc>
          <w:tcPr>
            <w:tcW w:w="2085"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搭建建筑垃圾管理体系完成及时率</w:t>
            </w:r>
          </w:p>
        </w:tc>
        <w:tc>
          <w:tcPr>
            <w:tcW w:w="2847" w:type="dxa"/>
            <w:vAlign w:val="center"/>
          </w:tcPr>
          <w:p>
            <w:pPr>
              <w:pStyle w:val="16"/>
            </w:pPr>
            <w:r>
              <w:t>搭建建筑垃圾管理体系完成及时数量/搭建建筑垃圾管理体系总数量*100%</w:t>
            </w:r>
          </w:p>
        </w:tc>
        <w:tc>
          <w:tcPr>
            <w:tcW w:w="2085"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搭建建筑垃圾管理体系平均成本</w:t>
            </w:r>
          </w:p>
        </w:tc>
        <w:tc>
          <w:tcPr>
            <w:tcW w:w="2847" w:type="dxa"/>
            <w:vAlign w:val="center"/>
          </w:tcPr>
          <w:p>
            <w:pPr>
              <w:pStyle w:val="16"/>
            </w:pPr>
            <w:r>
              <w:t>考察搭建建筑垃圾管理体系平均成本控制情况</w:t>
            </w:r>
          </w:p>
        </w:tc>
        <w:tc>
          <w:tcPr>
            <w:tcW w:w="2085" w:type="dxa"/>
            <w:vAlign w:val="center"/>
          </w:tcPr>
          <w:p>
            <w:pPr>
              <w:pStyle w:val="16"/>
            </w:pPr>
            <w:r>
              <w:t>≤1.03万元/平方公里</w:t>
            </w:r>
          </w:p>
        </w:tc>
        <w:tc>
          <w:tcPr>
            <w:tcW w:w="2466" w:type="dxa"/>
            <w:vAlign w:val="center"/>
          </w:tcPr>
          <w:p>
            <w:pPr>
              <w:pStyle w:val="16"/>
            </w:pPr>
            <w:r>
              <w:t>合同</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项目总成本</w:t>
            </w:r>
          </w:p>
        </w:tc>
        <w:tc>
          <w:tcPr>
            <w:tcW w:w="2847" w:type="dxa"/>
            <w:vAlign w:val="center"/>
          </w:tcPr>
          <w:p>
            <w:pPr>
              <w:pStyle w:val="16"/>
            </w:pPr>
            <w:r>
              <w:t>控制支付三方服务的总费用</w:t>
            </w:r>
          </w:p>
        </w:tc>
        <w:tc>
          <w:tcPr>
            <w:tcW w:w="2085" w:type="dxa"/>
            <w:vAlign w:val="center"/>
          </w:tcPr>
          <w:p>
            <w:pPr>
              <w:pStyle w:val="16"/>
            </w:pPr>
            <w:r>
              <w:t>万元</w:t>
            </w:r>
          </w:p>
        </w:tc>
        <w:tc>
          <w:tcPr>
            <w:tcW w:w="2466" w:type="dxa"/>
            <w:vAlign w:val="center"/>
          </w:tcPr>
          <w:p>
            <w:pPr>
              <w:pStyle w:val="16"/>
            </w:pPr>
            <w:r>
              <w:t>合同</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建筑垃圾安全处置率</w:t>
            </w:r>
          </w:p>
        </w:tc>
        <w:tc>
          <w:tcPr>
            <w:tcW w:w="2847" w:type="dxa"/>
            <w:vAlign w:val="center"/>
          </w:tcPr>
          <w:p>
            <w:pPr>
              <w:pStyle w:val="16"/>
            </w:pPr>
            <w:r>
              <w:t>建筑垃圾安全处置数量/建筑垃圾总数量*100%</w:t>
            </w:r>
          </w:p>
        </w:tc>
        <w:tc>
          <w:tcPr>
            <w:tcW w:w="2085" w:type="dxa"/>
            <w:vAlign w:val="center"/>
          </w:tcPr>
          <w:p>
            <w:pPr>
              <w:pStyle w:val="16"/>
            </w:pPr>
            <w:r>
              <w:t>≥90%</w:t>
            </w:r>
          </w:p>
        </w:tc>
        <w:tc>
          <w:tcPr>
            <w:tcW w:w="2466" w:type="dxa"/>
            <w:vAlign w:val="center"/>
          </w:tcPr>
          <w:p>
            <w:pPr>
              <w:pStyle w:val="16"/>
            </w:pPr>
            <w:r>
              <w:t>部门职责</w:t>
            </w:r>
          </w:p>
        </w:tc>
      </w:tr>
      <w:tr>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建筑垃圾申报核准率</w:t>
            </w:r>
          </w:p>
        </w:tc>
        <w:tc>
          <w:tcPr>
            <w:tcW w:w="2847" w:type="dxa"/>
            <w:vAlign w:val="center"/>
          </w:tcPr>
          <w:p>
            <w:pPr>
              <w:pStyle w:val="16"/>
            </w:pPr>
            <w:r>
              <w:t>建筑垃圾申报核准数量/建筑垃圾总数量*100%</w:t>
            </w:r>
          </w:p>
        </w:tc>
        <w:tc>
          <w:tcPr>
            <w:tcW w:w="2085" w:type="dxa"/>
            <w:vAlign w:val="center"/>
          </w:tcPr>
          <w:p>
            <w:pPr>
              <w:pStyle w:val="16"/>
            </w:pPr>
            <w:r>
              <w:t>≥90%</w:t>
            </w:r>
          </w:p>
        </w:tc>
        <w:tc>
          <w:tcPr>
            <w:tcW w:w="2466" w:type="dxa"/>
            <w:vAlign w:val="center"/>
          </w:tcPr>
          <w:p>
            <w:pPr>
              <w:pStyle w:val="16"/>
            </w:pPr>
            <w:r>
              <w:t>部门职责</w:t>
            </w:r>
          </w:p>
        </w:tc>
      </w:tr>
      <w:tr>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保障建筑垃圾管理体系正常运转</w:t>
            </w:r>
          </w:p>
        </w:tc>
        <w:tc>
          <w:tcPr>
            <w:tcW w:w="2847" w:type="dxa"/>
            <w:vAlign w:val="center"/>
          </w:tcPr>
          <w:p>
            <w:pPr>
              <w:pStyle w:val="16"/>
            </w:pPr>
            <w:r>
              <w:t>保障建筑垃圾管理体系正常运转</w:t>
            </w:r>
          </w:p>
        </w:tc>
        <w:tc>
          <w:tcPr>
            <w:tcW w:w="2085" w:type="dxa"/>
            <w:vAlign w:val="center"/>
          </w:tcPr>
          <w:p>
            <w:pPr>
              <w:pStyle w:val="16"/>
            </w:pPr>
            <w:r>
              <w:t>保障</w:t>
            </w:r>
          </w:p>
        </w:tc>
        <w:tc>
          <w:tcPr>
            <w:tcW w:w="2466" w:type="dxa"/>
            <w:vAlign w:val="center"/>
          </w:tcPr>
          <w:p>
            <w:pPr>
              <w:pStyle w:val="16"/>
            </w:pPr>
            <w:r>
              <w:t>部门职责</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有效防治固体废物污染环境</w:t>
            </w:r>
          </w:p>
        </w:tc>
        <w:tc>
          <w:tcPr>
            <w:tcW w:w="2847" w:type="dxa"/>
            <w:vAlign w:val="center"/>
          </w:tcPr>
          <w:p>
            <w:pPr>
              <w:pStyle w:val="16"/>
            </w:pPr>
            <w:r>
              <w:t>考察固体废物污染环境防治情况</w:t>
            </w:r>
          </w:p>
        </w:tc>
        <w:tc>
          <w:tcPr>
            <w:tcW w:w="2085" w:type="dxa"/>
            <w:vAlign w:val="center"/>
          </w:tcPr>
          <w:p>
            <w:pPr>
              <w:pStyle w:val="16"/>
            </w:pPr>
            <w:r>
              <w:t>有效防治</w:t>
            </w:r>
          </w:p>
        </w:tc>
        <w:tc>
          <w:tcPr>
            <w:tcW w:w="2466" w:type="dxa"/>
            <w:vAlign w:val="center"/>
          </w:tcPr>
          <w:p>
            <w:pPr>
              <w:pStyle w:val="16"/>
            </w:pPr>
            <w:r>
              <w:t>部门职责</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执法人员对建筑垃圾管理体系满意度</w:t>
            </w:r>
          </w:p>
        </w:tc>
        <w:tc>
          <w:tcPr>
            <w:tcW w:w="2847" w:type="dxa"/>
            <w:vAlign w:val="center"/>
          </w:tcPr>
          <w:p>
            <w:pPr>
              <w:pStyle w:val="16"/>
            </w:pPr>
            <w:r>
              <w:t>执法人员对建筑垃圾管理体系满意人员/调查总人数*100%</w:t>
            </w:r>
          </w:p>
        </w:tc>
        <w:tc>
          <w:tcPr>
            <w:tcW w:w="2085"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、开发建设（二期）基础建设项目环评服务费绩效目标表</w:t>
      </w:r>
    </w:p>
    <w:tbl>
      <w:tblPr>
        <w:tblStyle w:val="8"/>
        <w:tblW w:w="1416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33"/>
        <w:gridCol w:w="12332"/>
      </w:tblGrid>
      <w:tr>
        <w:trPr>
          <w:trHeight w:val="397" w:hRule="atLeast"/>
          <w:jc w:val="center"/>
        </w:trPr>
        <w:tc>
          <w:tcPr>
            <w:tcW w:w="1833"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1.强化工程项目对环境产生的影响破坏，提高我市的生态环境，为我市生态环境工作提供有效保障。</w:t>
            </w:r>
          </w:p>
          <w:p>
            <w:pPr>
              <w:pStyle w:val="16"/>
            </w:pPr>
            <w:r>
              <w:t>2.实现对北京大兴国际机场临空经济区（廊坊）产业园区基础设施及中医院项目的环境影响评价</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完成环境影响评价报告</w:t>
            </w:r>
          </w:p>
        </w:tc>
        <w:tc>
          <w:tcPr>
            <w:tcW w:w="2835" w:type="dxa"/>
            <w:vAlign w:val="center"/>
          </w:tcPr>
          <w:p>
            <w:pPr>
              <w:pStyle w:val="16"/>
            </w:pPr>
            <w:r>
              <w:t>完成环境影响评价报告</w:t>
            </w:r>
          </w:p>
        </w:tc>
        <w:tc>
          <w:tcPr>
            <w:tcW w:w="2551" w:type="dxa"/>
            <w:vAlign w:val="center"/>
          </w:tcPr>
          <w:p>
            <w:pPr>
              <w:pStyle w:val="16"/>
            </w:pPr>
            <w:r>
              <w:t>≥1项</w:t>
            </w:r>
          </w:p>
        </w:tc>
        <w:tc>
          <w:tcPr>
            <w:tcW w:w="2268" w:type="dxa"/>
            <w:vAlign w:val="center"/>
          </w:tcPr>
          <w:p>
            <w:pPr>
              <w:pStyle w:val="16"/>
            </w:pPr>
            <w:r>
              <w:t>项目预期目标</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协调推进项目数量</w:t>
            </w:r>
          </w:p>
        </w:tc>
        <w:tc>
          <w:tcPr>
            <w:tcW w:w="2835" w:type="dxa"/>
            <w:vAlign w:val="center"/>
          </w:tcPr>
          <w:p>
            <w:pPr>
              <w:pStyle w:val="16"/>
            </w:pPr>
            <w:r>
              <w:t>协调推进项目数量</w:t>
            </w:r>
          </w:p>
        </w:tc>
        <w:tc>
          <w:tcPr>
            <w:tcW w:w="2551" w:type="dxa"/>
            <w:vAlign w:val="center"/>
          </w:tcPr>
          <w:p>
            <w:pPr>
              <w:pStyle w:val="16"/>
            </w:pPr>
            <w:r>
              <w:t>≥7个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验收通过项目数量/验收总项目*100%</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按照工作时间节点要求取得批复</w:t>
            </w:r>
          </w:p>
        </w:tc>
        <w:tc>
          <w:tcPr>
            <w:tcW w:w="2835" w:type="dxa"/>
            <w:vAlign w:val="center"/>
          </w:tcPr>
          <w:p>
            <w:pPr>
              <w:pStyle w:val="16"/>
            </w:pPr>
            <w:r>
              <w:t>反映完成批复时间</w:t>
            </w:r>
          </w:p>
        </w:tc>
        <w:tc>
          <w:tcPr>
            <w:tcW w:w="2551" w:type="dxa"/>
            <w:vAlign w:val="center"/>
          </w:tcPr>
          <w:p>
            <w:pPr>
              <w:pStyle w:val="16"/>
            </w:pPr>
            <w:r>
              <w:t>2021年12月底完成批复</w:t>
            </w:r>
          </w:p>
        </w:tc>
        <w:tc>
          <w:tcPr>
            <w:tcW w:w="2268" w:type="dxa"/>
            <w:vAlign w:val="center"/>
          </w:tcPr>
          <w:p>
            <w:pPr>
              <w:pStyle w:val="16"/>
            </w:pPr>
            <w:r>
              <w:t>项目预期目标</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反映项目预计总成本</w:t>
            </w:r>
          </w:p>
        </w:tc>
        <w:tc>
          <w:tcPr>
            <w:tcW w:w="2551" w:type="dxa"/>
            <w:vAlign w:val="center"/>
          </w:tcPr>
          <w:p>
            <w:pPr>
              <w:pStyle w:val="16"/>
            </w:pPr>
            <w:r>
              <w:t>≤29.3万元</w:t>
            </w:r>
          </w:p>
        </w:tc>
        <w:tc>
          <w:tcPr>
            <w:tcW w:w="2268" w:type="dxa"/>
            <w:vAlign w:val="center"/>
          </w:tcPr>
          <w:p>
            <w:pPr>
              <w:pStyle w:val="16"/>
            </w:pPr>
            <w:r>
              <w:t>资金测算说明</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降低对环境的影响</w:t>
            </w:r>
          </w:p>
        </w:tc>
        <w:tc>
          <w:tcPr>
            <w:tcW w:w="2835" w:type="dxa"/>
            <w:vAlign w:val="center"/>
          </w:tcPr>
          <w:p>
            <w:pPr>
              <w:pStyle w:val="16"/>
            </w:pPr>
            <w:r>
              <w:t>通过科学规划，降低对环境的影响</w:t>
            </w:r>
          </w:p>
        </w:tc>
        <w:tc>
          <w:tcPr>
            <w:tcW w:w="2551" w:type="dxa"/>
            <w:vAlign w:val="center"/>
          </w:tcPr>
          <w:p>
            <w:pPr>
              <w:pStyle w:val="16"/>
            </w:pPr>
            <w:r>
              <w:t>持续降低</w:t>
            </w:r>
          </w:p>
        </w:tc>
        <w:tc>
          <w:tcPr>
            <w:tcW w:w="2268" w:type="dxa"/>
            <w:vAlign w:val="center"/>
          </w:tcPr>
          <w:p>
            <w:pPr>
              <w:pStyle w:val="16"/>
            </w:pPr>
            <w:r>
              <w:t>项目预期目标</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促进可持续发展</w:t>
            </w:r>
          </w:p>
        </w:tc>
        <w:tc>
          <w:tcPr>
            <w:tcW w:w="2835" w:type="dxa"/>
            <w:vAlign w:val="center"/>
          </w:tcPr>
          <w:p>
            <w:pPr>
              <w:pStyle w:val="16"/>
            </w:pPr>
            <w:r>
              <w:t>通过项目开展，促进可持续发展</w:t>
            </w:r>
          </w:p>
        </w:tc>
        <w:tc>
          <w:tcPr>
            <w:tcW w:w="2551" w:type="dxa"/>
            <w:vAlign w:val="center"/>
          </w:tcPr>
          <w:p>
            <w:pPr>
              <w:pStyle w:val="16"/>
            </w:pPr>
            <w:r>
              <w:t>有效促进</w:t>
            </w:r>
          </w:p>
        </w:tc>
        <w:tc>
          <w:tcPr>
            <w:tcW w:w="2268" w:type="dxa"/>
            <w:vAlign w:val="center"/>
          </w:tcPr>
          <w:p>
            <w:pPr>
              <w:pStyle w:val="16"/>
            </w:pPr>
            <w:r>
              <w:t>项目预期目标</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有效控制污染物</w:t>
            </w:r>
          </w:p>
        </w:tc>
        <w:tc>
          <w:tcPr>
            <w:tcW w:w="2835" w:type="dxa"/>
            <w:vAlign w:val="center"/>
          </w:tcPr>
          <w:p>
            <w:pPr>
              <w:pStyle w:val="16"/>
            </w:pPr>
            <w:r>
              <w:t>从源头上避免或建设工程施工对环境产生的影响，有效控制污染物。</w:t>
            </w:r>
          </w:p>
        </w:tc>
        <w:tc>
          <w:tcPr>
            <w:tcW w:w="2551" w:type="dxa"/>
            <w:vAlign w:val="center"/>
          </w:tcPr>
          <w:p>
            <w:pPr>
              <w:pStyle w:val="16"/>
            </w:pPr>
            <w:r>
              <w:t>全面控制</w:t>
            </w:r>
          </w:p>
        </w:tc>
        <w:tc>
          <w:tcPr>
            <w:tcW w:w="2268" w:type="dxa"/>
            <w:vAlign w:val="center"/>
          </w:tcPr>
          <w:p>
            <w:pPr>
              <w:pStyle w:val="16"/>
            </w:pPr>
            <w:r>
              <w:t>项目预期目标</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项目预期目标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、开发区土地集约利用（低效用地调查）监测统计绩效目标表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全面落实《中共中央关于制定国民经济和社会发展第十四个五年规划和二○三五年远景目标的建议》，客观反映临空经济开发区节约集约用地状况，全面提高土地资源利用效率。充分发挥土地集约利用及监测统计成果，保障重点产业项目加速落地，保证临空经济区建设进度。</w:t>
            </w:r>
          </w:p>
          <w:p>
            <w:pPr>
              <w:pStyle w:val="16"/>
            </w:pPr>
            <w:r>
              <w:t>2.通过开展本项目，完成2022年临空经济区监测统计面积不少于3580亩，项目总成本不高于32万，充分发挥土地集约利用及监测统计成果，提高土地资源利用效率。项目由自然资源和规划局临空分局负责实施。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面积</w:t>
            </w:r>
          </w:p>
        </w:tc>
        <w:tc>
          <w:tcPr>
            <w:tcW w:w="2835" w:type="dxa"/>
            <w:vAlign w:val="center"/>
          </w:tcPr>
          <w:p>
            <w:pPr>
              <w:pStyle w:val="16"/>
            </w:pPr>
            <w:r>
              <w:t>监测统计面积</w:t>
            </w:r>
          </w:p>
        </w:tc>
        <w:tc>
          <w:tcPr>
            <w:tcW w:w="2551" w:type="dxa"/>
            <w:vAlign w:val="center"/>
          </w:tcPr>
          <w:p>
            <w:pPr>
              <w:pStyle w:val="16"/>
            </w:pPr>
            <w:r>
              <w:t>≥100平方公里</w:t>
            </w:r>
          </w:p>
        </w:tc>
        <w:tc>
          <w:tcPr>
            <w:tcW w:w="2268" w:type="dxa"/>
            <w:vAlign w:val="center"/>
          </w:tcPr>
          <w:p>
            <w:pPr>
              <w:pStyle w:val="16"/>
            </w:pPr>
            <w:r>
              <w:t>临空经济区设立文件</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调查方案通过率</w:t>
            </w:r>
          </w:p>
        </w:tc>
        <w:tc>
          <w:tcPr>
            <w:tcW w:w="2835" w:type="dxa"/>
            <w:vAlign w:val="center"/>
          </w:tcPr>
          <w:p>
            <w:pPr>
              <w:pStyle w:val="16"/>
            </w:pPr>
            <w:r>
              <w:t>反映主管部门考核设计方案适用性情况</w:t>
            </w:r>
          </w:p>
        </w:tc>
        <w:tc>
          <w:tcPr>
            <w:tcW w:w="2551" w:type="dxa"/>
            <w:vAlign w:val="center"/>
          </w:tcPr>
          <w:p>
            <w:pPr>
              <w:pStyle w:val="16"/>
            </w:pPr>
            <w:r>
              <w:t>100%</w:t>
            </w:r>
          </w:p>
        </w:tc>
        <w:tc>
          <w:tcPr>
            <w:tcW w:w="2268" w:type="dxa"/>
            <w:vAlign w:val="center"/>
          </w:tcPr>
          <w:p>
            <w:pPr>
              <w:pStyle w:val="16"/>
            </w:pPr>
            <w:r>
              <w:t>主管部门考核意见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合同规定工期</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成本预算不高于32万</w:t>
            </w:r>
          </w:p>
        </w:tc>
        <w:tc>
          <w:tcPr>
            <w:tcW w:w="2551" w:type="dxa"/>
            <w:vAlign w:val="center"/>
          </w:tcPr>
          <w:p>
            <w:pPr>
              <w:pStyle w:val="16"/>
            </w:pPr>
            <w:r>
              <w:t>≤32万元</w:t>
            </w:r>
          </w:p>
        </w:tc>
        <w:tc>
          <w:tcPr>
            <w:tcW w:w="2268" w:type="dxa"/>
            <w:vAlign w:val="center"/>
          </w:tcPr>
          <w:p>
            <w:pPr>
              <w:pStyle w:val="16"/>
            </w:pP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提高土地资源利用效率</w:t>
            </w:r>
          </w:p>
        </w:tc>
        <w:tc>
          <w:tcPr>
            <w:tcW w:w="2835" w:type="dxa"/>
            <w:vAlign w:val="center"/>
          </w:tcPr>
          <w:p>
            <w:pPr>
              <w:pStyle w:val="16"/>
            </w:pPr>
            <w:r>
              <w:t>通过项目开展，有效提高土地资源利用效率</w:t>
            </w:r>
          </w:p>
        </w:tc>
        <w:tc>
          <w:tcPr>
            <w:tcW w:w="2551" w:type="dxa"/>
            <w:vAlign w:val="center"/>
          </w:tcPr>
          <w:p>
            <w:pPr>
              <w:pStyle w:val="16"/>
            </w:pPr>
            <w:r>
              <w:t>有效提高</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甲方满意度</w:t>
            </w:r>
          </w:p>
        </w:tc>
        <w:tc>
          <w:tcPr>
            <w:tcW w:w="2835" w:type="dxa"/>
            <w:vAlign w:val="center"/>
          </w:tcPr>
          <w:p>
            <w:pPr>
              <w:pStyle w:val="16"/>
            </w:pPr>
            <w:r>
              <w:t>甲方满意人数/调查总人数*100%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、科技创新区中医院建设项目工程前期费绩效目标表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1.通过该项目的实施确保2022年北京大兴国际机场临空经济区（廊坊）专项债券项目成功申报，提升区域社会影响力、区域价值，促进区域基础设施建设顺利开展。</w:t>
            </w:r>
          </w:p>
          <w:p>
            <w:pPr>
              <w:pStyle w:val="16"/>
            </w:pPr>
            <w:r>
              <w:t>2.河北省2022年专项债券提前批申请工作迫在眉睫，项目实施后将为北京大兴国际机场临空经济区（廊坊）基础建设项目专项债券申报工作提供支持，为确保工程顺利实施，急需费用落实该项目。</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协调推进项目数量</w:t>
            </w:r>
          </w:p>
        </w:tc>
        <w:tc>
          <w:tcPr>
            <w:tcW w:w="2835" w:type="dxa"/>
            <w:vAlign w:val="center"/>
          </w:tcPr>
          <w:p>
            <w:pPr>
              <w:pStyle w:val="16"/>
            </w:pPr>
            <w:r>
              <w:t>协调推进项目数量</w:t>
            </w:r>
          </w:p>
        </w:tc>
        <w:tc>
          <w:tcPr>
            <w:tcW w:w="2551" w:type="dxa"/>
            <w:vAlign w:val="center"/>
          </w:tcPr>
          <w:p>
            <w:pPr>
              <w:pStyle w:val="16"/>
            </w:pPr>
            <w:r>
              <w:t>2个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评估报告数量</w:t>
            </w:r>
          </w:p>
        </w:tc>
        <w:tc>
          <w:tcPr>
            <w:tcW w:w="2835" w:type="dxa"/>
            <w:vAlign w:val="center"/>
          </w:tcPr>
          <w:p>
            <w:pPr>
              <w:pStyle w:val="16"/>
            </w:pPr>
            <w:r>
              <w:t>反映形成评估报告数量</w:t>
            </w:r>
          </w:p>
        </w:tc>
        <w:tc>
          <w:tcPr>
            <w:tcW w:w="2551" w:type="dxa"/>
            <w:vAlign w:val="center"/>
          </w:tcPr>
          <w:p>
            <w:pPr>
              <w:pStyle w:val="16"/>
            </w:pPr>
            <w:r>
              <w:t>2个</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取得主管部门批复</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反映项目完成时间</w:t>
            </w:r>
          </w:p>
        </w:tc>
        <w:tc>
          <w:tcPr>
            <w:tcW w:w="2551" w:type="dxa"/>
            <w:vAlign w:val="center"/>
          </w:tcPr>
          <w:p>
            <w:pPr>
              <w:pStyle w:val="16"/>
            </w:pPr>
            <w:r>
              <w:t>2022年1月</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项目预算控制率</w:t>
            </w:r>
          </w:p>
        </w:tc>
        <w:tc>
          <w:tcPr>
            <w:tcW w:w="2835" w:type="dxa"/>
            <w:vAlign w:val="center"/>
          </w:tcPr>
          <w:p>
            <w:pPr>
              <w:pStyle w:val="16"/>
            </w:pPr>
            <w:r>
              <w:t>实际项目成本/项目预算数*100%</w:t>
            </w:r>
          </w:p>
        </w:tc>
        <w:tc>
          <w:tcPr>
            <w:tcW w:w="2551" w:type="dxa"/>
            <w:vAlign w:val="center"/>
          </w:tcPr>
          <w:p>
            <w:pPr>
              <w:pStyle w:val="16"/>
            </w:pPr>
            <w:r>
              <w:t>100%</w:t>
            </w:r>
          </w:p>
        </w:tc>
        <w:tc>
          <w:tcPr>
            <w:tcW w:w="2268" w:type="dxa"/>
            <w:vAlign w:val="center"/>
          </w:tcPr>
          <w:p>
            <w:pPr>
              <w:pStyle w:val="16"/>
            </w:pPr>
            <w:r>
              <w:t>工作要求</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促进区域基础设施建设顺利开展</w:t>
            </w:r>
          </w:p>
        </w:tc>
        <w:tc>
          <w:tcPr>
            <w:tcW w:w="2835" w:type="dxa"/>
            <w:vAlign w:val="center"/>
          </w:tcPr>
          <w:p>
            <w:pPr>
              <w:pStyle w:val="16"/>
            </w:pPr>
            <w:r>
              <w:t>通过本项目带动专项债券落地，促进区域基础设施建设顺利开展</w:t>
            </w:r>
          </w:p>
        </w:tc>
        <w:tc>
          <w:tcPr>
            <w:tcW w:w="2551" w:type="dxa"/>
            <w:vAlign w:val="center"/>
          </w:tcPr>
          <w:p>
            <w:pPr>
              <w:pStyle w:val="16"/>
            </w:pPr>
            <w:r>
              <w:t>促进开发建设</w:t>
            </w:r>
          </w:p>
        </w:tc>
        <w:tc>
          <w:tcPr>
            <w:tcW w:w="2268" w:type="dxa"/>
            <w:vAlign w:val="center"/>
          </w:tcPr>
          <w:p>
            <w:pPr>
              <w:pStyle w:val="16"/>
            </w:pPr>
            <w:r>
              <w:t>工作要求</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带动临空区经济发展</w:t>
            </w:r>
          </w:p>
        </w:tc>
        <w:tc>
          <w:tcPr>
            <w:tcW w:w="2835" w:type="dxa"/>
            <w:vAlign w:val="center"/>
          </w:tcPr>
          <w:p>
            <w:pPr>
              <w:pStyle w:val="16"/>
            </w:pPr>
            <w:r>
              <w:t>通过本项目促进专项债券落地，带动临空区经济发展</w:t>
            </w:r>
          </w:p>
        </w:tc>
        <w:tc>
          <w:tcPr>
            <w:tcW w:w="2551" w:type="dxa"/>
            <w:vAlign w:val="center"/>
          </w:tcPr>
          <w:p>
            <w:pPr>
              <w:pStyle w:val="16"/>
            </w:pPr>
            <w:r>
              <w:t>带动经济发展</w:t>
            </w:r>
          </w:p>
        </w:tc>
        <w:tc>
          <w:tcPr>
            <w:tcW w:w="2268" w:type="dxa"/>
            <w:vAlign w:val="center"/>
          </w:tcPr>
          <w:p>
            <w:pPr>
              <w:pStyle w:val="16"/>
            </w:pPr>
            <w:r>
              <w:t>工作要求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主管单位满意度</w:t>
            </w:r>
          </w:p>
        </w:tc>
        <w:tc>
          <w:tcPr>
            <w:tcW w:w="2551" w:type="dxa"/>
            <w:vAlign w:val="center"/>
          </w:tcPr>
          <w:p>
            <w:pPr>
              <w:pStyle w:val="16"/>
            </w:pPr>
            <w:r>
              <w:t>≥95%</w:t>
            </w:r>
          </w:p>
        </w:tc>
        <w:tc>
          <w:tcPr>
            <w:tcW w:w="2268" w:type="dxa"/>
            <w:vAlign w:val="center"/>
          </w:tcPr>
          <w:p>
            <w:pPr>
              <w:pStyle w:val="16"/>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、跨境电商产业专题研究服务绩效目标表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咨询内容包含1.开展跨境电商专题研究，围绕培育跨境电商主体、形成产业上下游集聚，构建跨境电商产业服务平台，完善专业配套支持政策三个方面进行深度研究，依托北京大兴国际机场，充分发挥综保区、自贸区的政策优势，在临空经济区做大做强跨境电商产业。特通过此项目，聘请专业咨询机构对临空经济区开展跨境电商专题研究，产出跨境电商产业研究报告，作为出台产业规划必要材料。</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研究报告</w:t>
            </w:r>
          </w:p>
        </w:tc>
        <w:tc>
          <w:tcPr>
            <w:tcW w:w="2835" w:type="dxa"/>
            <w:vAlign w:val="center"/>
          </w:tcPr>
          <w:p>
            <w:pPr>
              <w:pStyle w:val="16"/>
            </w:pPr>
            <w:r>
              <w:t>跨境电商专题研究报告</w:t>
            </w:r>
          </w:p>
        </w:tc>
        <w:tc>
          <w:tcPr>
            <w:tcW w:w="2551" w:type="dxa"/>
            <w:vAlign w:val="center"/>
          </w:tcPr>
          <w:p>
            <w:pPr>
              <w:pStyle w:val="16"/>
            </w:pPr>
            <w:r>
              <w:t>1件</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研究报告完成及时率</w:t>
            </w:r>
          </w:p>
        </w:tc>
        <w:tc>
          <w:tcPr>
            <w:tcW w:w="2835" w:type="dxa"/>
            <w:vAlign w:val="center"/>
          </w:tcPr>
          <w:p>
            <w:pPr>
              <w:pStyle w:val="16"/>
            </w:pPr>
            <w:r>
              <w:t>按合同计划时间完成研究报告的占比</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报告成果合格率</w:t>
            </w:r>
          </w:p>
        </w:tc>
        <w:tc>
          <w:tcPr>
            <w:tcW w:w="2835" w:type="dxa"/>
            <w:vAlign w:val="center"/>
          </w:tcPr>
          <w:p>
            <w:pPr>
              <w:pStyle w:val="16"/>
            </w:pPr>
            <w:r>
              <w:t>临空经济区临空经济区跨境电商产业专题研究报告合格率</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≤80万元</w:t>
            </w:r>
          </w:p>
        </w:tc>
        <w:tc>
          <w:tcPr>
            <w:tcW w:w="2268" w:type="dxa"/>
            <w:vAlign w:val="center"/>
          </w:tcPr>
          <w:p>
            <w:pPr>
              <w:pStyle w:val="16"/>
            </w:pPr>
            <w:r>
              <w:t>计划标准</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临空经济区临空经济区跨境电商产业专题研究报告</w:t>
            </w:r>
          </w:p>
        </w:tc>
        <w:tc>
          <w:tcPr>
            <w:tcW w:w="2835" w:type="dxa"/>
            <w:vAlign w:val="center"/>
          </w:tcPr>
          <w:p>
            <w:pPr>
              <w:pStyle w:val="16"/>
            </w:pPr>
            <w:r>
              <w:t>科学研究编制临空经济区跨境电商产业研究文件，为产业发展明晰路径、夯实基础。</w:t>
            </w:r>
          </w:p>
        </w:tc>
        <w:tc>
          <w:tcPr>
            <w:tcW w:w="2551" w:type="dxa"/>
            <w:vAlign w:val="center"/>
          </w:tcPr>
          <w:p>
            <w:pPr>
              <w:pStyle w:val="16"/>
            </w:pPr>
            <w:r>
              <w:t>科学编制临空经济区跨境电商产业专题研究文件</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有效年限</w:t>
            </w:r>
          </w:p>
        </w:tc>
        <w:tc>
          <w:tcPr>
            <w:tcW w:w="2835" w:type="dxa"/>
            <w:vAlign w:val="center"/>
          </w:tcPr>
          <w:p>
            <w:pPr>
              <w:pStyle w:val="16"/>
            </w:pPr>
            <w:r>
              <w:t>报告具有效果的年限</w:t>
            </w:r>
          </w:p>
        </w:tc>
        <w:tc>
          <w:tcPr>
            <w:tcW w:w="2551" w:type="dxa"/>
            <w:vAlign w:val="center"/>
          </w:tcPr>
          <w:p>
            <w:pPr>
              <w:pStyle w:val="16"/>
            </w:pPr>
            <w:r>
              <w:t>≥3年</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、廊坊片区2023年规划建设专题研究绩效目标表</w:t>
      </w:r>
    </w:p>
    <w:tbl>
      <w:tblPr>
        <w:tblStyle w:val="8"/>
        <w:tblW w:w="14161"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29"/>
        <w:gridCol w:w="12332"/>
      </w:tblGrid>
      <w:tr>
        <w:trPr>
          <w:trHeight w:val="397" w:hRule="atLeast"/>
          <w:jc w:val="center"/>
        </w:trPr>
        <w:tc>
          <w:tcPr>
            <w:tcW w:w="1829"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为解决临空经济区廊坊片区现行面临的问题和新的发展形势提供解决思路，指导临空经济区廊坊片区城市规划建设，进一步提升廊坊临空经济区规划、建设和管理能力，保障城市运营和项目建设，塑造城市特点、提升城市品质、实现高质量发展目标。</w:t>
            </w:r>
          </w:p>
          <w:p>
            <w:pPr>
              <w:pStyle w:val="16"/>
            </w:pPr>
            <w:r>
              <w:t>2.通过项目的有序开展，于2023年底完成《北京大兴国际机场临空经济区（廊坊片区）2023年规划建设专题研究项目》编制工作。我单位将严格控制项目成本，于2023年12月底前完成本项目，编制成果评审合格率达到100%，项目总价编制成本不高于60万元，并保证提交8套完整成果。通过项目的开展，形成研究成果文件，推动高质量发展，提升部门工作效率，支撑产业项目落位、提高生态利用率，并使本项目社会公众满意度达到90%以上。</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成果数量</w:t>
            </w:r>
          </w:p>
        </w:tc>
        <w:tc>
          <w:tcPr>
            <w:tcW w:w="2835" w:type="dxa"/>
            <w:vAlign w:val="center"/>
          </w:tcPr>
          <w:p>
            <w:pPr>
              <w:pStyle w:val="16"/>
            </w:pPr>
            <w:r>
              <w:t>提交8套成果</w:t>
            </w:r>
          </w:p>
        </w:tc>
        <w:tc>
          <w:tcPr>
            <w:tcW w:w="2551" w:type="dxa"/>
            <w:vAlign w:val="center"/>
          </w:tcPr>
          <w:p>
            <w:pPr>
              <w:pStyle w:val="16"/>
            </w:pPr>
            <w:r>
              <w:t>≥8个</w:t>
            </w:r>
          </w:p>
        </w:tc>
        <w:tc>
          <w:tcPr>
            <w:tcW w:w="2268" w:type="dxa"/>
            <w:vAlign w:val="center"/>
          </w:tcPr>
          <w:p>
            <w:pPr>
              <w:pStyle w:val="16"/>
            </w:pPr>
            <w:r>
              <w:t>依据合同约定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编制成果评审合格率</w:t>
            </w:r>
          </w:p>
        </w:tc>
        <w:tc>
          <w:tcPr>
            <w:tcW w:w="2835" w:type="dxa"/>
            <w:vAlign w:val="center"/>
          </w:tcPr>
          <w:p>
            <w:pPr>
              <w:pStyle w:val="16"/>
            </w:pPr>
            <w:r>
              <w:t>编制成果合格率=评审合格规划数量/总规划数量</w:t>
            </w:r>
          </w:p>
        </w:tc>
        <w:tc>
          <w:tcPr>
            <w:tcW w:w="2551" w:type="dxa"/>
            <w:vAlign w:val="center"/>
          </w:tcPr>
          <w:p>
            <w:pPr>
              <w:pStyle w:val="16"/>
            </w:pPr>
            <w:r>
              <w:t>≥90%</w:t>
            </w:r>
          </w:p>
        </w:tc>
        <w:tc>
          <w:tcPr>
            <w:tcW w:w="2268" w:type="dxa"/>
            <w:vAlign w:val="center"/>
          </w:tcPr>
          <w:p>
            <w:pPr>
              <w:pStyle w:val="16"/>
            </w:pPr>
            <w:r>
              <w:t>专家评审论证意见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计划完成规划编制时间</w:t>
            </w:r>
          </w:p>
        </w:tc>
        <w:tc>
          <w:tcPr>
            <w:tcW w:w="2835" w:type="dxa"/>
            <w:vAlign w:val="center"/>
          </w:tcPr>
          <w:p>
            <w:pPr>
              <w:pStyle w:val="16"/>
            </w:pPr>
            <w:r>
              <w:t>按时提交项目成果</w:t>
            </w:r>
          </w:p>
        </w:tc>
        <w:tc>
          <w:tcPr>
            <w:tcW w:w="2551" w:type="dxa"/>
            <w:vAlign w:val="center"/>
          </w:tcPr>
          <w:p>
            <w:pPr>
              <w:pStyle w:val="16"/>
            </w:pPr>
            <w:r>
              <w:t>及时</w:t>
            </w:r>
          </w:p>
        </w:tc>
        <w:tc>
          <w:tcPr>
            <w:tcW w:w="2268" w:type="dxa"/>
            <w:vAlign w:val="center"/>
          </w:tcPr>
          <w:p>
            <w:pPr>
              <w:pStyle w:val="16"/>
            </w:pPr>
            <w:r>
              <w:t>依照合同约定时间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成本控制总价为60万元，超出约定不得分</w:t>
            </w:r>
          </w:p>
        </w:tc>
        <w:tc>
          <w:tcPr>
            <w:tcW w:w="2551" w:type="dxa"/>
            <w:vAlign w:val="center"/>
          </w:tcPr>
          <w:p>
            <w:pPr>
              <w:pStyle w:val="16"/>
            </w:pPr>
            <w:r>
              <w:t>≤60万元</w:t>
            </w:r>
          </w:p>
        </w:tc>
        <w:tc>
          <w:tcPr>
            <w:tcW w:w="2268" w:type="dxa"/>
            <w:vAlign w:val="center"/>
          </w:tcPr>
          <w:p>
            <w:pPr>
              <w:pStyle w:val="16"/>
            </w:pPr>
            <w:r>
              <w:t>依照合同约定时间</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提升部门工作效率</w:t>
            </w:r>
          </w:p>
        </w:tc>
        <w:tc>
          <w:tcPr>
            <w:tcW w:w="2835" w:type="dxa"/>
            <w:vAlign w:val="center"/>
          </w:tcPr>
          <w:p>
            <w:pPr>
              <w:pStyle w:val="16"/>
            </w:pPr>
            <w:r>
              <w:t>通过项目的开展找出建设过程中遇到的问题，明确下一步工作计划和重点</w:t>
            </w:r>
          </w:p>
        </w:tc>
        <w:tc>
          <w:tcPr>
            <w:tcW w:w="2551" w:type="dxa"/>
            <w:vAlign w:val="center"/>
          </w:tcPr>
          <w:p>
            <w:pPr>
              <w:pStyle w:val="16"/>
            </w:pPr>
            <w:r>
              <w:t>提高</w:t>
            </w:r>
          </w:p>
        </w:tc>
        <w:tc>
          <w:tcPr>
            <w:tcW w:w="2268" w:type="dxa"/>
            <w:vAlign w:val="center"/>
          </w:tcPr>
          <w:p>
            <w:pPr>
              <w:pStyle w:val="16"/>
            </w:pPr>
            <w:r>
              <w:t>效果显著</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指导临空经济区廊坊片区城市建设</w:t>
            </w:r>
          </w:p>
        </w:tc>
        <w:tc>
          <w:tcPr>
            <w:tcW w:w="2835" w:type="dxa"/>
            <w:vAlign w:val="center"/>
          </w:tcPr>
          <w:p>
            <w:pPr>
              <w:pStyle w:val="16"/>
            </w:pPr>
            <w:r>
              <w:t>通过对用地情况梳理，为临空区后期工作成效和问题分析提供支撑</w:t>
            </w:r>
          </w:p>
        </w:tc>
        <w:tc>
          <w:tcPr>
            <w:tcW w:w="2551" w:type="dxa"/>
            <w:vAlign w:val="center"/>
          </w:tcPr>
          <w:p>
            <w:pPr>
              <w:pStyle w:val="16"/>
            </w:pPr>
            <w:r>
              <w:t>支撑</w:t>
            </w:r>
          </w:p>
        </w:tc>
        <w:tc>
          <w:tcPr>
            <w:tcW w:w="2268" w:type="dxa"/>
            <w:vAlign w:val="center"/>
          </w:tcPr>
          <w:p>
            <w:pPr>
              <w:pStyle w:val="16"/>
            </w:pPr>
            <w:r>
              <w:t>效果显著</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项目满意度</w:t>
            </w:r>
          </w:p>
        </w:tc>
        <w:tc>
          <w:tcPr>
            <w:tcW w:w="2835" w:type="dxa"/>
            <w:vAlign w:val="center"/>
          </w:tcPr>
          <w:p>
            <w:pPr>
              <w:pStyle w:val="16"/>
            </w:pPr>
            <w:r>
              <w:t>项目满意度</w:t>
            </w:r>
          </w:p>
        </w:tc>
        <w:tc>
          <w:tcPr>
            <w:tcW w:w="2551" w:type="dxa"/>
            <w:vAlign w:val="center"/>
          </w:tcPr>
          <w:p>
            <w:pPr>
              <w:pStyle w:val="16"/>
            </w:pPr>
            <w:r>
              <w:t>≥90%</w:t>
            </w:r>
          </w:p>
        </w:tc>
        <w:tc>
          <w:tcPr>
            <w:tcW w:w="2268"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、廊坊片区节能报告修改服务费绩效目标表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1.编制完成北京大兴国际机场临空经济区廊坊片区区域节能报告（修改），申请完成临空经济区区域能耗总量调整。</w:t>
            </w:r>
          </w:p>
          <w:p>
            <w:pPr>
              <w:pStyle w:val="16"/>
            </w:pPr>
            <w:r>
              <w:t>2.完成北京大兴国际机场临空经济区廊坊片区区域节能报告（修改）的编制工作，并拿到政府相关行政审批部门批复意见。</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形成至少1份区域节能报告（修改）</w:t>
            </w:r>
          </w:p>
        </w:tc>
        <w:tc>
          <w:tcPr>
            <w:tcW w:w="2835" w:type="dxa"/>
            <w:vAlign w:val="center"/>
          </w:tcPr>
          <w:p>
            <w:pPr>
              <w:pStyle w:val="16"/>
            </w:pPr>
            <w:r>
              <w:t>编制并审查通过至少1份临空经济区廊坊片区区域节能报告（修改）</w:t>
            </w:r>
          </w:p>
        </w:tc>
        <w:tc>
          <w:tcPr>
            <w:tcW w:w="2551" w:type="dxa"/>
            <w:vAlign w:val="center"/>
          </w:tcPr>
          <w:p>
            <w:pPr>
              <w:pStyle w:val="16"/>
            </w:pPr>
            <w:r>
              <w:t>1份</w:t>
            </w:r>
          </w:p>
        </w:tc>
        <w:tc>
          <w:tcPr>
            <w:tcW w:w="2268" w:type="dxa"/>
            <w:vAlign w:val="center"/>
          </w:tcPr>
          <w:p>
            <w:pPr>
              <w:pStyle w:val="16"/>
            </w:pPr>
            <w:r>
              <w:t>根据合同条款</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按要求保质保量按时完成技术成果</w:t>
            </w:r>
          </w:p>
        </w:tc>
        <w:tc>
          <w:tcPr>
            <w:tcW w:w="2835" w:type="dxa"/>
            <w:vAlign w:val="center"/>
          </w:tcPr>
          <w:p>
            <w:pPr>
              <w:pStyle w:val="16"/>
            </w:pPr>
            <w:r>
              <w:t>编制完成区域节能报告，通过市发改委审核</w:t>
            </w:r>
          </w:p>
        </w:tc>
        <w:tc>
          <w:tcPr>
            <w:tcW w:w="2551" w:type="dxa"/>
            <w:vAlign w:val="center"/>
          </w:tcPr>
          <w:p>
            <w:pPr>
              <w:pStyle w:val="16"/>
            </w:pPr>
            <w:r>
              <w:t>形成节能报告正式文件，获得市发改委审核通过文件</w:t>
            </w:r>
          </w:p>
        </w:tc>
        <w:tc>
          <w:tcPr>
            <w:tcW w:w="2268" w:type="dxa"/>
            <w:vAlign w:val="center"/>
          </w:tcPr>
          <w:p>
            <w:pPr>
              <w:pStyle w:val="16"/>
            </w:pPr>
            <w:r>
              <w:t>根据合同条款</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在合同签订后几日内提交正式成果</w:t>
            </w:r>
          </w:p>
        </w:tc>
        <w:tc>
          <w:tcPr>
            <w:tcW w:w="2551" w:type="dxa"/>
            <w:vAlign w:val="center"/>
          </w:tcPr>
          <w:p>
            <w:pPr>
              <w:pStyle w:val="16"/>
            </w:pPr>
            <w:r>
              <w:t>≤30天</w:t>
            </w:r>
          </w:p>
        </w:tc>
        <w:tc>
          <w:tcPr>
            <w:tcW w:w="2268" w:type="dxa"/>
            <w:vAlign w:val="center"/>
          </w:tcPr>
          <w:p>
            <w:pPr>
              <w:pStyle w:val="16"/>
            </w:pPr>
            <w:r>
              <w:t>根据合同条款</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编制成本</w:t>
            </w:r>
          </w:p>
        </w:tc>
        <w:tc>
          <w:tcPr>
            <w:tcW w:w="2835" w:type="dxa"/>
            <w:vAlign w:val="center"/>
          </w:tcPr>
          <w:p>
            <w:pPr>
              <w:pStyle w:val="16"/>
            </w:pPr>
            <w:r>
              <w:t>区域节能报告专项咨询服务费成本</w:t>
            </w:r>
          </w:p>
        </w:tc>
        <w:tc>
          <w:tcPr>
            <w:tcW w:w="2551" w:type="dxa"/>
            <w:vAlign w:val="center"/>
          </w:tcPr>
          <w:p>
            <w:pPr>
              <w:pStyle w:val="16"/>
            </w:pPr>
            <w:r>
              <w:t>≤15万</w:t>
            </w:r>
          </w:p>
        </w:tc>
        <w:tc>
          <w:tcPr>
            <w:tcW w:w="2268" w:type="dxa"/>
            <w:vAlign w:val="center"/>
          </w:tcPr>
          <w:p>
            <w:pPr>
              <w:pStyle w:val="16"/>
            </w:pPr>
            <w:r>
              <w:t>根据一般行业标准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评审成本</w:t>
            </w:r>
          </w:p>
        </w:tc>
        <w:tc>
          <w:tcPr>
            <w:tcW w:w="2835" w:type="dxa"/>
            <w:vAlign w:val="center"/>
          </w:tcPr>
          <w:p>
            <w:pPr>
              <w:pStyle w:val="16"/>
            </w:pPr>
            <w:r>
              <w:t>区域节能报告评审费用成本</w:t>
            </w:r>
          </w:p>
        </w:tc>
        <w:tc>
          <w:tcPr>
            <w:tcW w:w="2551" w:type="dxa"/>
            <w:vAlign w:val="center"/>
          </w:tcPr>
          <w:p>
            <w:pPr>
              <w:pStyle w:val="16"/>
            </w:pPr>
            <w:r>
              <w:t>≤9万</w:t>
            </w:r>
          </w:p>
        </w:tc>
        <w:tc>
          <w:tcPr>
            <w:tcW w:w="2268" w:type="dxa"/>
            <w:vAlign w:val="center"/>
          </w:tcPr>
          <w:p>
            <w:pPr>
              <w:pStyle w:val="16"/>
            </w:pPr>
            <w:r>
              <w:t>根据一般行业标准</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业务保障能力提升情况</w:t>
            </w:r>
          </w:p>
        </w:tc>
        <w:tc>
          <w:tcPr>
            <w:tcW w:w="2835" w:type="dxa"/>
            <w:vAlign w:val="center"/>
          </w:tcPr>
          <w:p>
            <w:pPr>
              <w:pStyle w:val="16"/>
            </w:pPr>
            <w:r>
              <w:t>十四五期间投产运营高端高新项目</w:t>
            </w:r>
          </w:p>
        </w:tc>
        <w:tc>
          <w:tcPr>
            <w:tcW w:w="2551" w:type="dxa"/>
            <w:vAlign w:val="center"/>
          </w:tcPr>
          <w:p>
            <w:pPr>
              <w:pStyle w:val="16"/>
            </w:pPr>
            <w:r>
              <w:t>≥1个</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管委会满意度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79</w:t>
      </w:r>
      <w:r>
        <w:rPr>
          <w:rFonts w:ascii="方正仿宋_GBK" w:hAnsi="方正仿宋_GBK" w:eastAsia="方正仿宋_GBK" w:cs="方正仿宋_GBK"/>
          <w:b/>
          <w:color w:val="000000"/>
          <w:sz w:val="28"/>
        </w:rPr>
        <w:t>、廊涿高速公路永清连接线道路养护费绩效目标表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1.将廊涿高速公路永清连接线纳入临空区市政路网规划，按照市政道路技术标准进行日常管理和养护，保障道路正常通行，为市民营造良好的出行环境。</w:t>
            </w:r>
          </w:p>
          <w:p>
            <w:pPr>
              <w:pStyle w:val="16"/>
            </w:pPr>
            <w:r>
              <w:t>2.依据道路现场损坏程度，按照市政道路维修养护标准实施，保证道路正常通行功能。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坑槽、沉陷修复面积</w:t>
            </w:r>
          </w:p>
        </w:tc>
        <w:tc>
          <w:tcPr>
            <w:tcW w:w="2835" w:type="dxa"/>
            <w:vAlign w:val="center"/>
          </w:tcPr>
          <w:p>
            <w:pPr>
              <w:pStyle w:val="16"/>
            </w:pPr>
            <w:r>
              <w:t>道路基础处理加面层修复面积</w:t>
            </w:r>
          </w:p>
        </w:tc>
        <w:tc>
          <w:tcPr>
            <w:tcW w:w="2551" w:type="dxa"/>
            <w:vAlign w:val="center"/>
          </w:tcPr>
          <w:p>
            <w:pPr>
              <w:pStyle w:val="16"/>
            </w:pPr>
            <w:r>
              <w:t>≤555平方米</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车辙、局部面层脱落修复面积</w:t>
            </w:r>
          </w:p>
        </w:tc>
        <w:tc>
          <w:tcPr>
            <w:tcW w:w="2835" w:type="dxa"/>
            <w:vAlign w:val="center"/>
          </w:tcPr>
          <w:p>
            <w:pPr>
              <w:pStyle w:val="16"/>
            </w:pPr>
            <w:r>
              <w:t>道路面层修复面积</w:t>
            </w:r>
          </w:p>
        </w:tc>
        <w:tc>
          <w:tcPr>
            <w:tcW w:w="2551" w:type="dxa"/>
            <w:vAlign w:val="center"/>
          </w:tcPr>
          <w:p>
            <w:pPr>
              <w:pStyle w:val="16"/>
            </w:pPr>
            <w:r>
              <w:t>≤5270平方米</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施工按照规范执行</w:t>
            </w:r>
          </w:p>
        </w:tc>
        <w:tc>
          <w:tcPr>
            <w:tcW w:w="2835" w:type="dxa"/>
            <w:vAlign w:val="center"/>
          </w:tcPr>
          <w:p>
            <w:pPr>
              <w:pStyle w:val="16"/>
            </w:pPr>
            <w:r>
              <w:t>是否严格按照施工验收规范执行</w:t>
            </w:r>
          </w:p>
        </w:tc>
        <w:tc>
          <w:tcPr>
            <w:tcW w:w="2551" w:type="dxa"/>
            <w:vAlign w:val="center"/>
          </w:tcPr>
          <w:p>
            <w:pPr>
              <w:pStyle w:val="16"/>
            </w:pPr>
            <w:r>
              <w:t>100%</w:t>
            </w:r>
          </w:p>
        </w:tc>
        <w:tc>
          <w:tcPr>
            <w:tcW w:w="2268" w:type="dxa"/>
            <w:vAlign w:val="center"/>
          </w:tcPr>
          <w:p>
            <w:pPr>
              <w:pStyle w:val="16"/>
            </w:pPr>
            <w:r>
              <w:t>《城市道路工程施工与质量验收规范》CJJ1-2008《城市道路路基工程施工及验收规范》CJJ44-91</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施工进度</w:t>
            </w:r>
          </w:p>
        </w:tc>
        <w:tc>
          <w:tcPr>
            <w:tcW w:w="2835" w:type="dxa"/>
            <w:vAlign w:val="center"/>
          </w:tcPr>
          <w:p>
            <w:pPr>
              <w:pStyle w:val="16"/>
            </w:pPr>
            <w:r>
              <w:t>在派工后及时完成修补维护</w:t>
            </w:r>
          </w:p>
        </w:tc>
        <w:tc>
          <w:tcPr>
            <w:tcW w:w="2551" w:type="dxa"/>
            <w:vAlign w:val="center"/>
          </w:tcPr>
          <w:p>
            <w:pPr>
              <w:pStyle w:val="16"/>
            </w:pPr>
            <w:r>
              <w:t>≤3天</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道路养护总价</w:t>
            </w:r>
          </w:p>
        </w:tc>
        <w:tc>
          <w:tcPr>
            <w:tcW w:w="2835" w:type="dxa"/>
            <w:vAlign w:val="center"/>
          </w:tcPr>
          <w:p>
            <w:pPr>
              <w:pStyle w:val="16"/>
            </w:pPr>
            <w:r>
              <w:t>道路养护总价</w:t>
            </w:r>
          </w:p>
        </w:tc>
        <w:tc>
          <w:tcPr>
            <w:tcW w:w="2551" w:type="dxa"/>
            <w:vAlign w:val="center"/>
          </w:tcPr>
          <w:p>
            <w:pPr>
              <w:pStyle w:val="16"/>
            </w:pPr>
            <w:r>
              <w:t>≤100.75万元</w:t>
            </w:r>
          </w:p>
        </w:tc>
        <w:tc>
          <w:tcPr>
            <w:tcW w:w="2268" w:type="dxa"/>
            <w:vAlign w:val="center"/>
          </w:tcPr>
          <w:p>
            <w:pPr>
              <w:pStyle w:val="16"/>
            </w:pPr>
            <w:r>
              <w:t>根据项目实际情况确定</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居民生命财产安全</w:t>
            </w:r>
          </w:p>
        </w:tc>
        <w:tc>
          <w:tcPr>
            <w:tcW w:w="2835" w:type="dxa"/>
            <w:vAlign w:val="center"/>
          </w:tcPr>
          <w:p>
            <w:pPr>
              <w:pStyle w:val="16"/>
            </w:pPr>
            <w:r>
              <w:t>因市政道路损坏造成的安全事故率</w:t>
            </w:r>
          </w:p>
        </w:tc>
        <w:tc>
          <w:tcPr>
            <w:tcW w:w="2551" w:type="dxa"/>
            <w:vAlign w:val="center"/>
          </w:tcPr>
          <w:p>
            <w:pPr>
              <w:pStyle w:val="16"/>
            </w:pPr>
            <w:r>
              <w:t>≤1起</w:t>
            </w:r>
          </w:p>
        </w:tc>
        <w:tc>
          <w:tcPr>
            <w:tcW w:w="2268" w:type="dxa"/>
            <w:vAlign w:val="center"/>
          </w:tcPr>
          <w:p>
            <w:pPr>
              <w:pStyle w:val="16"/>
            </w:pPr>
            <w:r>
              <w:t>市政经验确定</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资金利用率</w:t>
            </w:r>
          </w:p>
        </w:tc>
        <w:tc>
          <w:tcPr>
            <w:tcW w:w="2835" w:type="dxa"/>
            <w:vAlign w:val="center"/>
          </w:tcPr>
          <w:p>
            <w:pPr>
              <w:pStyle w:val="16"/>
            </w:pPr>
            <w:r>
              <w:t>实际完成工程量是否达到拨付资金应该完成的工程量</w:t>
            </w:r>
          </w:p>
        </w:tc>
        <w:tc>
          <w:tcPr>
            <w:tcW w:w="2551" w:type="dxa"/>
            <w:vAlign w:val="center"/>
          </w:tcPr>
          <w:p>
            <w:pPr>
              <w:pStyle w:val="16"/>
            </w:pPr>
            <w:r>
              <w:t>≥100%</w:t>
            </w:r>
          </w:p>
        </w:tc>
        <w:tc>
          <w:tcPr>
            <w:tcW w:w="2268" w:type="dxa"/>
            <w:vAlign w:val="center"/>
          </w:tcPr>
          <w:p>
            <w:pPr>
              <w:pStyle w:val="16"/>
            </w:pPr>
            <w:r>
              <w:t>招投标使用的评审预算</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由于市政道路隐患造成的安全事故率</w:t>
            </w:r>
          </w:p>
        </w:tc>
        <w:tc>
          <w:tcPr>
            <w:tcW w:w="2835" w:type="dxa"/>
            <w:vAlign w:val="center"/>
          </w:tcPr>
          <w:p>
            <w:pPr>
              <w:pStyle w:val="16"/>
            </w:pPr>
            <w:r>
              <w:t>城市道路通行便利，杜绝发生安全事故</w:t>
            </w:r>
          </w:p>
        </w:tc>
        <w:tc>
          <w:tcPr>
            <w:tcW w:w="2551" w:type="dxa"/>
            <w:vAlign w:val="center"/>
          </w:tcPr>
          <w:p>
            <w:pPr>
              <w:pStyle w:val="16"/>
            </w:pPr>
            <w:r>
              <w:t>≤1%</w:t>
            </w:r>
          </w:p>
        </w:tc>
        <w:tc>
          <w:tcPr>
            <w:tcW w:w="2268" w:type="dxa"/>
            <w:vAlign w:val="center"/>
          </w:tcPr>
          <w:p>
            <w:pPr>
              <w:pStyle w:val="16"/>
            </w:pPr>
            <w:r>
              <w:t>市政经验确定</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整洁，环境优化</w:t>
            </w:r>
          </w:p>
        </w:tc>
        <w:tc>
          <w:tcPr>
            <w:tcW w:w="2835" w:type="dxa"/>
            <w:vAlign w:val="center"/>
          </w:tcPr>
          <w:p>
            <w:pPr>
              <w:pStyle w:val="16"/>
            </w:pPr>
            <w:r>
              <w:t>居民出行方便、安全</w:t>
            </w:r>
          </w:p>
        </w:tc>
        <w:tc>
          <w:tcPr>
            <w:tcW w:w="2551" w:type="dxa"/>
            <w:vAlign w:val="center"/>
          </w:tcPr>
          <w:p>
            <w:pPr>
              <w:pStyle w:val="16"/>
            </w:pPr>
            <w:r>
              <w:t>≥12月</w:t>
            </w:r>
          </w:p>
        </w:tc>
        <w:tc>
          <w:tcPr>
            <w:tcW w:w="2268" w:type="dxa"/>
            <w:vAlign w:val="center"/>
          </w:tcPr>
          <w:p>
            <w:pPr>
              <w:pStyle w:val="16"/>
            </w:pPr>
            <w:r>
              <w:t>市政经验确定</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周边居民满意度</w:t>
            </w:r>
          </w:p>
        </w:tc>
        <w:tc>
          <w:tcPr>
            <w:tcW w:w="2835" w:type="dxa"/>
            <w:vAlign w:val="center"/>
          </w:tcPr>
          <w:p>
            <w:pPr>
              <w:pStyle w:val="16"/>
            </w:pPr>
            <w:r>
              <w:t>市政道路造成的安全隐患及人居环境的优化程度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、林长制办公室经费绩效目标表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全面践行习近平生态文明思想，树立绿水青山就是金山银山新发展理念，探索构建权责明确、保障得力、监管严格、运行高效的森林等资源保护发展的管理机制。通过整合各类林业及政策资源，不断加强林业生态保护，全面推进林业生态修复，率先实施天然林保护修复，提高预防治理森林灾害能力，探索创新管护机制，强化依法治林管理，逐步实现生态改善，绿色发展。</w:t>
            </w:r>
          </w:p>
          <w:p>
            <w:pPr>
              <w:pStyle w:val="16"/>
            </w:pPr>
            <w:r>
              <w:t>2.宣传发动，利用报刊、广播、电视和网络等媒介大力开展林长制宣传，形成知晓、支持和推进林长制工作的社会氛围。完成总成本不高于2万元，项目由自然资源和规划局负责实施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林长制办公室</w:t>
            </w:r>
          </w:p>
        </w:tc>
        <w:tc>
          <w:tcPr>
            <w:tcW w:w="2835" w:type="dxa"/>
            <w:vAlign w:val="center"/>
          </w:tcPr>
          <w:p>
            <w:pPr>
              <w:pStyle w:val="16"/>
            </w:pPr>
            <w:r>
              <w:t>日常建设</w:t>
            </w:r>
          </w:p>
        </w:tc>
        <w:tc>
          <w:tcPr>
            <w:tcW w:w="2551" w:type="dxa"/>
            <w:vAlign w:val="center"/>
          </w:tcPr>
          <w:p>
            <w:pPr>
              <w:pStyle w:val="16"/>
            </w:pPr>
            <w:r>
              <w:t>1个</w:t>
            </w:r>
          </w:p>
        </w:tc>
        <w:tc>
          <w:tcPr>
            <w:tcW w:w="2268" w:type="dxa"/>
            <w:vAlign w:val="center"/>
          </w:tcPr>
          <w:p>
            <w:pPr>
              <w:pStyle w:val="16"/>
            </w:pPr>
            <w:r>
              <w:t>工作需求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宣传、活动区域覆盖率</w:t>
            </w:r>
          </w:p>
        </w:tc>
        <w:tc>
          <w:tcPr>
            <w:tcW w:w="2835" w:type="dxa"/>
            <w:vAlign w:val="center"/>
          </w:tcPr>
          <w:p>
            <w:pPr>
              <w:pStyle w:val="16"/>
            </w:pPr>
            <w:r>
              <w:t>(实际宣传、活动区域覆盖区域/计划覆盖区域)*100%</w:t>
            </w:r>
          </w:p>
        </w:tc>
        <w:tc>
          <w:tcPr>
            <w:tcW w:w="2551" w:type="dxa"/>
            <w:vAlign w:val="center"/>
          </w:tcPr>
          <w:p>
            <w:pPr>
              <w:pStyle w:val="16"/>
            </w:pPr>
            <w:r>
              <w:t>≥95%</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各种宣传活动完成及时率</w:t>
            </w:r>
          </w:p>
        </w:tc>
        <w:tc>
          <w:tcPr>
            <w:tcW w:w="2835" w:type="dxa"/>
            <w:vAlign w:val="center"/>
          </w:tcPr>
          <w:p>
            <w:pPr>
              <w:pStyle w:val="16"/>
            </w:pPr>
            <w:r>
              <w:t>(实际宣传活动完成情况/计划完成情况)*100%</w:t>
            </w:r>
          </w:p>
        </w:tc>
        <w:tc>
          <w:tcPr>
            <w:tcW w:w="2551" w:type="dxa"/>
            <w:vAlign w:val="center"/>
          </w:tcPr>
          <w:p>
            <w:pPr>
              <w:pStyle w:val="16"/>
            </w:pPr>
            <w:r>
              <w:t>≥95%</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林长制办公室建设费</w:t>
            </w:r>
          </w:p>
        </w:tc>
        <w:tc>
          <w:tcPr>
            <w:tcW w:w="2835" w:type="dxa"/>
            <w:vAlign w:val="center"/>
          </w:tcPr>
          <w:p>
            <w:pPr>
              <w:pStyle w:val="16"/>
            </w:pPr>
            <w:r>
              <w:t>日常建设成本</w:t>
            </w:r>
          </w:p>
        </w:tc>
        <w:tc>
          <w:tcPr>
            <w:tcW w:w="2551" w:type="dxa"/>
            <w:vAlign w:val="center"/>
          </w:tcPr>
          <w:p>
            <w:pPr>
              <w:pStyle w:val="16"/>
            </w:pPr>
            <w:r>
              <w:t>≤2万元</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宣传、活动影响力</w:t>
            </w:r>
          </w:p>
        </w:tc>
        <w:tc>
          <w:tcPr>
            <w:tcW w:w="2835" w:type="dxa"/>
            <w:vAlign w:val="center"/>
          </w:tcPr>
          <w:p>
            <w:pPr>
              <w:pStyle w:val="16"/>
            </w:pPr>
            <w:r>
              <w:t>向社会深入宣传林长制有关信息内容，扩大社会影响力。</w:t>
            </w:r>
          </w:p>
        </w:tc>
        <w:tc>
          <w:tcPr>
            <w:tcW w:w="2551" w:type="dxa"/>
            <w:vAlign w:val="center"/>
          </w:tcPr>
          <w:p>
            <w:pPr>
              <w:pStyle w:val="16"/>
            </w:pPr>
            <w:r>
              <w:t>提升社会影响力</w:t>
            </w:r>
          </w:p>
        </w:tc>
        <w:tc>
          <w:tcPr>
            <w:tcW w:w="2268" w:type="dxa"/>
            <w:vAlign w:val="center"/>
          </w:tcPr>
          <w:p>
            <w:pPr>
              <w:pStyle w:val="16"/>
            </w:pPr>
            <w:r>
              <w:t>据实情况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宣传区域内对象满意度</w:t>
            </w:r>
          </w:p>
        </w:tc>
        <w:tc>
          <w:tcPr>
            <w:tcW w:w="2835" w:type="dxa"/>
            <w:vAlign w:val="center"/>
          </w:tcPr>
          <w:p>
            <w:pPr>
              <w:pStyle w:val="16"/>
            </w:pPr>
            <w:r>
              <w:t>调查人数满意度/调查总人数*100%</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、林业有害生物防治项目绩效目标表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1.开展本项目主要防控春尺蠖、美国白蛾等重大林业有害生物对我市林木造成危害，达到保护绿化美化成果，维护生态环境，促进生态文明建设的目的，能够取得经济、生态和社会多重效益。</w:t>
            </w:r>
          </w:p>
          <w:p>
            <w:pPr>
              <w:pStyle w:val="16"/>
            </w:pPr>
            <w:r>
              <w:t>2.通过项目的开展完成防控春尺蠖、美国白蛾等重大林业有害生物，完成治理不少于2345公顷的林地面积以及达到三次以上治理，项目总成本控制在150万（含）以内。达到保护绿化美化成果，维护生态环境，促进生态文明建设的目的。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林地面积</w:t>
            </w:r>
          </w:p>
        </w:tc>
        <w:tc>
          <w:tcPr>
            <w:tcW w:w="2835" w:type="dxa"/>
            <w:vAlign w:val="center"/>
          </w:tcPr>
          <w:p>
            <w:pPr>
              <w:pStyle w:val="16"/>
            </w:pPr>
            <w:r>
              <w:t>临空区林地面积</w:t>
            </w:r>
          </w:p>
        </w:tc>
        <w:tc>
          <w:tcPr>
            <w:tcW w:w="2551" w:type="dxa"/>
            <w:vAlign w:val="center"/>
          </w:tcPr>
          <w:p>
            <w:pPr>
              <w:pStyle w:val="16"/>
            </w:pPr>
            <w:r>
              <w:t>≥2345公顷</w:t>
            </w:r>
          </w:p>
        </w:tc>
        <w:tc>
          <w:tcPr>
            <w:tcW w:w="2268" w:type="dxa"/>
            <w:vAlign w:val="center"/>
          </w:tcPr>
          <w:p>
            <w:pPr>
              <w:pStyle w:val="16"/>
            </w:pPr>
            <w:r>
              <w:t>临空区现有林地面积</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防治次数</w:t>
            </w:r>
          </w:p>
        </w:tc>
        <w:tc>
          <w:tcPr>
            <w:tcW w:w="2835" w:type="dxa"/>
            <w:vAlign w:val="center"/>
          </w:tcPr>
          <w:p>
            <w:pPr>
              <w:pStyle w:val="16"/>
            </w:pPr>
            <w:r>
              <w:t>防治次数</w:t>
            </w:r>
          </w:p>
        </w:tc>
        <w:tc>
          <w:tcPr>
            <w:tcW w:w="2551" w:type="dxa"/>
            <w:vAlign w:val="center"/>
          </w:tcPr>
          <w:p>
            <w:pPr>
              <w:pStyle w:val="16"/>
            </w:pPr>
            <w:r>
              <w:t>≥3次</w:t>
            </w:r>
          </w:p>
        </w:tc>
        <w:tc>
          <w:tcPr>
            <w:tcW w:w="2268" w:type="dxa"/>
            <w:vAlign w:val="center"/>
          </w:tcPr>
          <w:p>
            <w:pPr>
              <w:pStyle w:val="16"/>
            </w:pPr>
            <w:r>
              <w:t>临空区现有林地面积喷洒三次</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验收合格面积/验收面积*100%</w:t>
            </w:r>
          </w:p>
        </w:tc>
        <w:tc>
          <w:tcPr>
            <w:tcW w:w="2551" w:type="dxa"/>
            <w:vAlign w:val="center"/>
          </w:tcPr>
          <w:p>
            <w:pPr>
              <w:pStyle w:val="16"/>
            </w:pPr>
            <w:r>
              <w:t>100%</w:t>
            </w:r>
          </w:p>
        </w:tc>
        <w:tc>
          <w:tcPr>
            <w:tcW w:w="2268" w:type="dxa"/>
            <w:vAlign w:val="center"/>
          </w:tcPr>
          <w:p>
            <w:pPr>
              <w:pStyle w:val="16"/>
            </w:pPr>
            <w:r>
              <w:t>验收要求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合同规定</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成本预算不高于150万</w:t>
            </w:r>
          </w:p>
        </w:tc>
        <w:tc>
          <w:tcPr>
            <w:tcW w:w="2551" w:type="dxa"/>
            <w:vAlign w:val="center"/>
          </w:tcPr>
          <w:p>
            <w:pPr>
              <w:pStyle w:val="16"/>
            </w:pPr>
            <w:r>
              <w:t>≤150万元</w:t>
            </w:r>
          </w:p>
        </w:tc>
        <w:tc>
          <w:tcPr>
            <w:tcW w:w="2268" w:type="dxa"/>
            <w:vAlign w:val="center"/>
          </w:tcPr>
          <w:p>
            <w:pPr>
              <w:pStyle w:val="16"/>
            </w:pPr>
            <w:r>
              <w:t>行业标准</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有效控制林业有害生物的危害及蔓延</w:t>
            </w:r>
          </w:p>
        </w:tc>
        <w:tc>
          <w:tcPr>
            <w:tcW w:w="2835" w:type="dxa"/>
            <w:vAlign w:val="center"/>
          </w:tcPr>
          <w:p>
            <w:pPr>
              <w:pStyle w:val="16"/>
            </w:pPr>
            <w:r>
              <w:t>通过项目的开展有效控制林业有害生物的危害及蔓延</w:t>
            </w:r>
          </w:p>
        </w:tc>
        <w:tc>
          <w:tcPr>
            <w:tcW w:w="2551" w:type="dxa"/>
            <w:vAlign w:val="center"/>
          </w:tcPr>
          <w:p>
            <w:pPr>
              <w:pStyle w:val="16"/>
            </w:pPr>
            <w:r>
              <w:t>有效控制</w:t>
            </w:r>
          </w:p>
        </w:tc>
        <w:tc>
          <w:tcPr>
            <w:tcW w:w="2268" w:type="dxa"/>
            <w:vAlign w:val="center"/>
          </w:tcPr>
          <w:p>
            <w:pPr>
              <w:pStyle w:val="16"/>
            </w:pPr>
            <w:r>
              <w:t>据实情况</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保护生态环境</w:t>
            </w:r>
          </w:p>
        </w:tc>
        <w:tc>
          <w:tcPr>
            <w:tcW w:w="2835" w:type="dxa"/>
            <w:vAlign w:val="center"/>
          </w:tcPr>
          <w:p>
            <w:pPr>
              <w:pStyle w:val="16"/>
            </w:pPr>
            <w:r>
              <w:t>通过项目开展，减少对树木产生的危害，保护生态环境。</w:t>
            </w:r>
          </w:p>
        </w:tc>
        <w:tc>
          <w:tcPr>
            <w:tcW w:w="2551" w:type="dxa"/>
            <w:vAlign w:val="center"/>
          </w:tcPr>
          <w:p>
            <w:pPr>
              <w:pStyle w:val="16"/>
            </w:pPr>
            <w:r>
              <w:t>有效控制</w:t>
            </w:r>
          </w:p>
        </w:tc>
        <w:tc>
          <w:tcPr>
            <w:tcW w:w="2268" w:type="dxa"/>
            <w:vAlign w:val="center"/>
          </w:tcPr>
          <w:p>
            <w:pPr>
              <w:pStyle w:val="16"/>
            </w:pPr>
            <w:r>
              <w:t>据实情况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受益区域内人群满意度</w:t>
            </w:r>
          </w:p>
        </w:tc>
        <w:tc>
          <w:tcPr>
            <w:tcW w:w="2835" w:type="dxa"/>
            <w:vAlign w:val="center"/>
          </w:tcPr>
          <w:p>
            <w:pPr>
              <w:pStyle w:val="16"/>
            </w:pPr>
            <w:r>
              <w:t>甲方科室满意人数/调查总人数*100%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、临空二小开办经费绩效目标表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1.加快临空经济区配套公务设施建设，解决学校正常运转、师生在校安全、教师培训等问题。提升经济区的经济发展软实力，进一步优化营商环境，能明显提高社会效率。</w:t>
            </w:r>
          </w:p>
          <w:p>
            <w:pPr>
              <w:pStyle w:val="16"/>
            </w:pPr>
            <w:r>
              <w:t>2.预留办公经费，解决学校正常运转、师生在校安全、教师培训等问题，通过公开招标方式，进行3所学校办公经费中采购安保、物业服务等工作。2023年3月-5月：由临空经济区管委会委托有相关资质的代理公司负责组织实施，完成新建校3所采购安保及物业服务工作，签订相关合同，2023年7月，完成。</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教室数量</w:t>
            </w:r>
          </w:p>
        </w:tc>
        <w:tc>
          <w:tcPr>
            <w:tcW w:w="2835" w:type="dxa"/>
            <w:vAlign w:val="center"/>
          </w:tcPr>
          <w:p>
            <w:pPr>
              <w:pStyle w:val="16"/>
            </w:pPr>
            <w:r>
              <w:t>配备教育装备的专用教室数量</w:t>
            </w:r>
          </w:p>
        </w:tc>
        <w:tc>
          <w:tcPr>
            <w:tcW w:w="2551" w:type="dxa"/>
            <w:vAlign w:val="center"/>
          </w:tcPr>
          <w:p>
            <w:pPr>
              <w:pStyle w:val="16"/>
            </w:pPr>
            <w:r>
              <w:t>20间</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符合省市相关政策</w:t>
            </w:r>
          </w:p>
        </w:tc>
        <w:tc>
          <w:tcPr>
            <w:tcW w:w="2835" w:type="dxa"/>
            <w:vAlign w:val="center"/>
          </w:tcPr>
          <w:p>
            <w:pPr>
              <w:pStyle w:val="16"/>
            </w:pPr>
            <w:r>
              <w:t>符合基本办学标准及相关政策</w:t>
            </w:r>
          </w:p>
        </w:tc>
        <w:tc>
          <w:tcPr>
            <w:tcW w:w="2551" w:type="dxa"/>
            <w:vAlign w:val="center"/>
          </w:tcPr>
          <w:p>
            <w:pPr>
              <w:pStyle w:val="16"/>
            </w:pPr>
            <w:r>
              <w:t>符合</w:t>
            </w:r>
          </w:p>
        </w:tc>
        <w:tc>
          <w:tcPr>
            <w:tcW w:w="2268" w:type="dxa"/>
            <w:vAlign w:val="center"/>
          </w:tcPr>
          <w:p>
            <w:pPr>
              <w:pStyle w:val="16"/>
            </w:pPr>
            <w:r>
              <w:t>《河北省义务教育学校办学基本标准》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配备工作完成时间</w:t>
            </w:r>
          </w:p>
        </w:tc>
        <w:tc>
          <w:tcPr>
            <w:tcW w:w="2835" w:type="dxa"/>
            <w:vAlign w:val="center"/>
          </w:tcPr>
          <w:p>
            <w:pPr>
              <w:pStyle w:val="16"/>
            </w:pPr>
            <w:r>
              <w:t>配备工作完成时间</w:t>
            </w:r>
          </w:p>
        </w:tc>
        <w:tc>
          <w:tcPr>
            <w:tcW w:w="2551" w:type="dxa"/>
            <w:vAlign w:val="center"/>
          </w:tcPr>
          <w:p>
            <w:pPr>
              <w:pStyle w:val="16"/>
            </w:pPr>
            <w:r>
              <w:t>2022年9月前完成配备工作</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开办经费成本</w:t>
            </w:r>
          </w:p>
        </w:tc>
        <w:tc>
          <w:tcPr>
            <w:tcW w:w="2835" w:type="dxa"/>
            <w:vAlign w:val="center"/>
          </w:tcPr>
          <w:p>
            <w:pPr>
              <w:pStyle w:val="16"/>
            </w:pPr>
            <w:r>
              <w:t>开办经费成本</w:t>
            </w:r>
          </w:p>
        </w:tc>
        <w:tc>
          <w:tcPr>
            <w:tcW w:w="2551" w:type="dxa"/>
            <w:vAlign w:val="center"/>
          </w:tcPr>
          <w:p>
            <w:pPr>
              <w:pStyle w:val="16"/>
            </w:pPr>
            <w:r>
              <w:t>≤1470.59万元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培养后备人才</w:t>
            </w:r>
          </w:p>
        </w:tc>
        <w:tc>
          <w:tcPr>
            <w:tcW w:w="2835" w:type="dxa"/>
            <w:vAlign w:val="center"/>
          </w:tcPr>
          <w:p>
            <w:pPr>
              <w:pStyle w:val="16"/>
            </w:pPr>
            <w:r>
              <w:t>为社会培养合格的后备人才奠定基础</w:t>
            </w:r>
          </w:p>
        </w:tc>
        <w:tc>
          <w:tcPr>
            <w:tcW w:w="2551" w:type="dxa"/>
            <w:vAlign w:val="center"/>
          </w:tcPr>
          <w:p>
            <w:pPr>
              <w:pStyle w:val="16"/>
            </w:pPr>
            <w:r>
              <w:t>人才储备</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解决航企职工及居民子女入学问题</w:t>
            </w:r>
          </w:p>
        </w:tc>
        <w:tc>
          <w:tcPr>
            <w:tcW w:w="2835" w:type="dxa"/>
            <w:vAlign w:val="center"/>
          </w:tcPr>
          <w:p>
            <w:pPr>
              <w:pStyle w:val="16"/>
            </w:pPr>
            <w:r>
              <w:t>解决服务范围内适龄儿童入学问题</w:t>
            </w:r>
          </w:p>
        </w:tc>
        <w:tc>
          <w:tcPr>
            <w:tcW w:w="2551" w:type="dxa"/>
            <w:vAlign w:val="center"/>
          </w:tcPr>
          <w:p>
            <w:pPr>
              <w:pStyle w:val="16"/>
            </w:pPr>
            <w:r>
              <w:t>解决</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校内相关人员对校内办公环境满意度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、临空回迁区12班幼儿园开办经费绩效目标表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1.加快临空经济区配套公务设施建设，解决幼儿园正常运转等问题。提升经济区的经济发展软实力，进一步优化营商环境，能明显提高社会效率。</w:t>
            </w:r>
          </w:p>
          <w:p>
            <w:pPr>
              <w:pStyle w:val="16"/>
            </w:pPr>
            <w:r>
              <w:t>2.完成幼儿园装修及设备购置，为幼儿园正常开学做好硬件准备工作。由临空经济区管委会委托有相关资质的代理公司负责组织实施，完成新建园采购工作，签订相关合同，2022年9月前，完成。</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配备设备教室数量</w:t>
            </w:r>
          </w:p>
        </w:tc>
        <w:tc>
          <w:tcPr>
            <w:tcW w:w="2835" w:type="dxa"/>
            <w:vAlign w:val="center"/>
          </w:tcPr>
          <w:p>
            <w:pPr>
              <w:pStyle w:val="16"/>
            </w:pPr>
            <w:r>
              <w:t>幼儿园设备配备完成教室数量</w:t>
            </w:r>
          </w:p>
        </w:tc>
        <w:tc>
          <w:tcPr>
            <w:tcW w:w="2551" w:type="dxa"/>
            <w:vAlign w:val="center"/>
          </w:tcPr>
          <w:p>
            <w:pPr>
              <w:pStyle w:val="16"/>
            </w:pPr>
            <w:r>
              <w:t>12间</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教室装修数量</w:t>
            </w:r>
          </w:p>
        </w:tc>
        <w:tc>
          <w:tcPr>
            <w:tcW w:w="2835" w:type="dxa"/>
            <w:vAlign w:val="center"/>
          </w:tcPr>
          <w:p>
            <w:pPr>
              <w:pStyle w:val="16"/>
            </w:pPr>
            <w:r>
              <w:t>幼儿园教室装修数量</w:t>
            </w:r>
          </w:p>
        </w:tc>
        <w:tc>
          <w:tcPr>
            <w:tcW w:w="2551" w:type="dxa"/>
            <w:vAlign w:val="center"/>
          </w:tcPr>
          <w:p>
            <w:pPr>
              <w:pStyle w:val="16"/>
            </w:pPr>
            <w:r>
              <w:t>12间</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符合《河北省义务教育学校办学基本标准》及省市相关政策</w:t>
            </w:r>
          </w:p>
        </w:tc>
        <w:tc>
          <w:tcPr>
            <w:tcW w:w="2835" w:type="dxa"/>
            <w:vAlign w:val="center"/>
          </w:tcPr>
          <w:p>
            <w:pPr>
              <w:pStyle w:val="16"/>
            </w:pPr>
            <w:r>
              <w:t>符合基本办学标准及相关政策</w:t>
            </w:r>
          </w:p>
        </w:tc>
        <w:tc>
          <w:tcPr>
            <w:tcW w:w="2551" w:type="dxa"/>
            <w:vAlign w:val="center"/>
          </w:tcPr>
          <w:p>
            <w:pPr>
              <w:pStyle w:val="16"/>
            </w:pPr>
            <w:r>
              <w:t>符合</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设备到位及时率</w:t>
            </w:r>
          </w:p>
        </w:tc>
        <w:tc>
          <w:tcPr>
            <w:tcW w:w="2835" w:type="dxa"/>
            <w:vAlign w:val="center"/>
          </w:tcPr>
          <w:p>
            <w:pPr>
              <w:pStyle w:val="16"/>
            </w:pPr>
            <w:r>
              <w:t>按计划到位的设备数/总设备数</w:t>
            </w:r>
          </w:p>
        </w:tc>
        <w:tc>
          <w:tcPr>
            <w:tcW w:w="2551" w:type="dxa"/>
            <w:vAlign w:val="center"/>
          </w:tcPr>
          <w:p>
            <w:pPr>
              <w:pStyle w:val="16"/>
            </w:pPr>
            <w:r>
              <w:t>≥90%</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≤1143.61万元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培养合格的后备人才</w:t>
            </w:r>
          </w:p>
        </w:tc>
        <w:tc>
          <w:tcPr>
            <w:tcW w:w="2835" w:type="dxa"/>
            <w:vAlign w:val="center"/>
          </w:tcPr>
          <w:p>
            <w:pPr>
              <w:pStyle w:val="16"/>
            </w:pPr>
            <w:r>
              <w:t>为培养合格的后备人才奠定基础</w:t>
            </w:r>
          </w:p>
        </w:tc>
        <w:tc>
          <w:tcPr>
            <w:tcW w:w="2551" w:type="dxa"/>
            <w:vAlign w:val="center"/>
          </w:tcPr>
          <w:p>
            <w:pPr>
              <w:pStyle w:val="16"/>
            </w:pPr>
            <w:r>
              <w:t>奠定</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解决航企职工及居民子女入学问题</w:t>
            </w:r>
          </w:p>
        </w:tc>
        <w:tc>
          <w:tcPr>
            <w:tcW w:w="2835" w:type="dxa"/>
            <w:vAlign w:val="center"/>
          </w:tcPr>
          <w:p>
            <w:pPr>
              <w:pStyle w:val="16"/>
            </w:pPr>
            <w:r>
              <w:t>解决服务范围内适龄儿童入学问题</w:t>
            </w:r>
          </w:p>
        </w:tc>
        <w:tc>
          <w:tcPr>
            <w:tcW w:w="2551" w:type="dxa"/>
            <w:vAlign w:val="center"/>
          </w:tcPr>
          <w:p>
            <w:pPr>
              <w:pStyle w:val="16"/>
            </w:pPr>
            <w:r>
              <w:t>解决</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校内相关人员对校内办公环境满意度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、临空集团结算资金绩效目标表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1.根据临空集团建设项目进度，据实核算建设资金，保障临空经济区建设的顺利实施。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临空集团完成征迁工作数量</w:t>
            </w:r>
          </w:p>
        </w:tc>
        <w:tc>
          <w:tcPr>
            <w:tcW w:w="2835" w:type="dxa"/>
            <w:vAlign w:val="center"/>
          </w:tcPr>
          <w:p>
            <w:pPr>
              <w:pStyle w:val="16"/>
            </w:pPr>
            <w:r>
              <w:t>临空集团完成征迁工作数量</w:t>
            </w:r>
          </w:p>
        </w:tc>
        <w:tc>
          <w:tcPr>
            <w:tcW w:w="2551" w:type="dxa"/>
            <w:vAlign w:val="center"/>
          </w:tcPr>
          <w:p>
            <w:pPr>
              <w:pStyle w:val="16"/>
            </w:pPr>
            <w:r>
              <w:t>≥20个</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计划完成率</w:t>
            </w:r>
          </w:p>
        </w:tc>
        <w:tc>
          <w:tcPr>
            <w:tcW w:w="2835" w:type="dxa"/>
            <w:vAlign w:val="center"/>
          </w:tcPr>
          <w:p>
            <w:pPr>
              <w:pStyle w:val="16"/>
            </w:pPr>
            <w:r>
              <w:t>计划完成率</w:t>
            </w:r>
          </w:p>
        </w:tc>
        <w:tc>
          <w:tcPr>
            <w:tcW w:w="2551" w:type="dxa"/>
            <w:vAlign w:val="center"/>
          </w:tcPr>
          <w:p>
            <w:pPr>
              <w:pStyle w:val="16"/>
            </w:pPr>
            <w:r>
              <w:t>≥95%</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及时支付</w:t>
            </w:r>
          </w:p>
        </w:tc>
        <w:tc>
          <w:tcPr>
            <w:tcW w:w="2835" w:type="dxa"/>
            <w:vAlign w:val="center"/>
          </w:tcPr>
          <w:p>
            <w:pPr>
              <w:pStyle w:val="16"/>
            </w:pPr>
            <w:r>
              <w:t>按资金支付计划及时拨付</w:t>
            </w:r>
          </w:p>
        </w:tc>
        <w:tc>
          <w:tcPr>
            <w:tcW w:w="2551" w:type="dxa"/>
            <w:vAlign w:val="center"/>
          </w:tcPr>
          <w:p>
            <w:pPr>
              <w:pStyle w:val="16"/>
            </w:pPr>
            <w:r>
              <w:t>及时</w:t>
            </w:r>
          </w:p>
        </w:tc>
        <w:tc>
          <w:tcPr>
            <w:tcW w:w="2268" w:type="dxa"/>
            <w:vAlign w:val="center"/>
          </w:tcPr>
          <w:p>
            <w:pPr>
              <w:pStyle w:val="16"/>
            </w:pPr>
            <w:r>
              <w:t>根据计划安排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≤301570万元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拉动经济效益</w:t>
            </w:r>
          </w:p>
        </w:tc>
        <w:tc>
          <w:tcPr>
            <w:tcW w:w="2835" w:type="dxa"/>
            <w:vAlign w:val="center"/>
          </w:tcPr>
          <w:p>
            <w:pPr>
              <w:pStyle w:val="16"/>
            </w:pPr>
            <w:r>
              <w:t>有效拉动临空经济区经济发展，有效维护临空经济区规划建设稳步发展</w:t>
            </w:r>
          </w:p>
        </w:tc>
        <w:tc>
          <w:tcPr>
            <w:tcW w:w="2551" w:type="dxa"/>
            <w:vAlign w:val="center"/>
          </w:tcPr>
          <w:p>
            <w:pPr>
              <w:pStyle w:val="16"/>
            </w:pPr>
            <w:r>
              <w:t>拉动</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扩大社会影响力</w:t>
            </w:r>
          </w:p>
        </w:tc>
        <w:tc>
          <w:tcPr>
            <w:tcW w:w="2835" w:type="dxa"/>
            <w:vAlign w:val="center"/>
          </w:tcPr>
          <w:p>
            <w:pPr>
              <w:pStyle w:val="16"/>
            </w:pPr>
            <w:r>
              <w:t>通过业务开展，不断扩大临空经济区（廊坊片区）社会影响力。</w:t>
            </w:r>
          </w:p>
        </w:tc>
        <w:tc>
          <w:tcPr>
            <w:tcW w:w="2551" w:type="dxa"/>
            <w:vAlign w:val="center"/>
          </w:tcPr>
          <w:p>
            <w:pPr>
              <w:pStyle w:val="16"/>
            </w:pPr>
            <w:r>
              <w:t>扩大</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、临空区战略咨询研究经费绩效目标表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本项目的开展，就廊坊临空经济区未来建设发展的关键问题开展系统性研究，形成支撑未来临空产业招商、体制机制改革创新、区域协同发展、打造综合交通枢纽等重点领域的意见举措，更扎实落实国家、省、市关于打造高水平国家级临空经济区的发展要求，推动廊坊临空经济区更高质量发展。</w:t>
            </w:r>
          </w:p>
          <w:p>
            <w:pPr>
              <w:pStyle w:val="16"/>
            </w:pPr>
            <w:r>
              <w:t>2.通过本项目的开展实施，于2023年底完成廊坊临空经济区战略咨询研究中各专题研究报告，形成《大兴机场临空经济区（廊坊片区）打造综合交通枢纽战略研究》《商贸物流产业链招商专题研究报告》《生物医药产业链招商专题研究报告》《航空科创产业链招商专题研究报告》《大兴国际机场与廊坊临空经济区联动发展问题研究报告》《廊坊临空经济区与廊坊市一区两县协同发展研究报告》《大兴机场临空经济区（廊坊片区）体制机制创新专题研究报告》《廊坊临空经济区三年行动计划（2023-2025年）》《廊坊临空经济区中国式现代化临空实践专题研究报告》等工作成果。更好支撑未来廊坊临空经济区重点领域的高质量发展。</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专题研究报告数量</w:t>
            </w:r>
          </w:p>
        </w:tc>
        <w:tc>
          <w:tcPr>
            <w:tcW w:w="2835" w:type="dxa"/>
            <w:vAlign w:val="center"/>
          </w:tcPr>
          <w:p>
            <w:pPr>
              <w:pStyle w:val="16"/>
            </w:pPr>
            <w:r>
              <w:t>考察专题研究报告数量完成情况</w:t>
            </w:r>
          </w:p>
        </w:tc>
        <w:tc>
          <w:tcPr>
            <w:tcW w:w="2551" w:type="dxa"/>
            <w:vAlign w:val="center"/>
          </w:tcPr>
          <w:p>
            <w:pPr>
              <w:pStyle w:val="16"/>
            </w:pPr>
            <w:r>
              <w:t>9个</w:t>
            </w:r>
          </w:p>
        </w:tc>
        <w:tc>
          <w:tcPr>
            <w:tcW w:w="2268" w:type="dxa"/>
            <w:vAlign w:val="center"/>
          </w:tcPr>
          <w:p>
            <w:pPr>
              <w:pStyle w:val="16"/>
            </w:pPr>
            <w:r>
              <w:t>工作计划、合同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专题研究报告利用率</w:t>
            </w:r>
          </w:p>
        </w:tc>
        <w:tc>
          <w:tcPr>
            <w:tcW w:w="2835" w:type="dxa"/>
            <w:vAlign w:val="center"/>
          </w:tcPr>
          <w:p>
            <w:pPr>
              <w:pStyle w:val="16"/>
            </w:pPr>
            <w:r>
              <w:t>被利用专题研究报告数量/9*100%</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报告编制完成及时性</w:t>
            </w:r>
          </w:p>
        </w:tc>
        <w:tc>
          <w:tcPr>
            <w:tcW w:w="2835" w:type="dxa"/>
            <w:vAlign w:val="center"/>
          </w:tcPr>
          <w:p>
            <w:pPr>
              <w:pStyle w:val="16"/>
            </w:pPr>
            <w:r>
              <w:t>考察报告编制完成及时情况</w:t>
            </w:r>
          </w:p>
        </w:tc>
        <w:tc>
          <w:tcPr>
            <w:tcW w:w="2551" w:type="dxa"/>
            <w:vAlign w:val="center"/>
          </w:tcPr>
          <w:p>
            <w:pPr>
              <w:pStyle w:val="16"/>
            </w:pPr>
            <w:r>
              <w:t>%</w:t>
            </w:r>
          </w:p>
        </w:tc>
        <w:tc>
          <w:tcPr>
            <w:tcW w:w="2268" w:type="dxa"/>
            <w:vAlign w:val="center"/>
          </w:tcPr>
          <w:p>
            <w:pPr>
              <w:pStyle w:val="16"/>
            </w:pPr>
            <w:r>
              <w:t>工作计划、合同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考察项目总成本控制情况</w:t>
            </w:r>
          </w:p>
        </w:tc>
        <w:tc>
          <w:tcPr>
            <w:tcW w:w="2551" w:type="dxa"/>
            <w:vAlign w:val="center"/>
          </w:tcPr>
          <w:p>
            <w:pPr>
              <w:pStyle w:val="16"/>
            </w:pPr>
            <w:r>
              <w:t>≤700万元</w:t>
            </w:r>
          </w:p>
        </w:tc>
        <w:tc>
          <w:tcPr>
            <w:tcW w:w="2268" w:type="dxa"/>
            <w:vAlign w:val="center"/>
          </w:tcPr>
          <w:p>
            <w:pPr>
              <w:pStyle w:val="16"/>
            </w:pPr>
            <w:r>
              <w:t>工作计划、合同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为廊坊临空经济区更高质量发展提供建议</w:t>
            </w:r>
          </w:p>
        </w:tc>
        <w:tc>
          <w:tcPr>
            <w:tcW w:w="2835" w:type="dxa"/>
            <w:vAlign w:val="center"/>
          </w:tcPr>
          <w:p>
            <w:pPr>
              <w:pStyle w:val="16"/>
            </w:pPr>
            <w:r>
              <w:t>为廊坊临空经济区更高质量发展提供建议</w:t>
            </w:r>
          </w:p>
        </w:tc>
        <w:tc>
          <w:tcPr>
            <w:tcW w:w="2551" w:type="dxa"/>
            <w:vAlign w:val="center"/>
          </w:tcPr>
          <w:p>
            <w:pPr>
              <w:pStyle w:val="16"/>
            </w:pPr>
            <w:r>
              <w:t>提供</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报告使用人满意度</w:t>
            </w:r>
          </w:p>
        </w:tc>
        <w:tc>
          <w:tcPr>
            <w:tcW w:w="2835" w:type="dxa"/>
            <w:vAlign w:val="center"/>
          </w:tcPr>
          <w:p>
            <w:pPr>
              <w:pStyle w:val="16"/>
            </w:pPr>
            <w:r>
              <w:t>使用报告满意人数/调查总人数*100%</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、临空区综合保障服务资金绩效目标表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1.通过完成临空区综合保障服务各项目，加强城市管理，提升服务水平，满足实际工作需求。</w:t>
            </w:r>
          </w:p>
          <w:p>
            <w:pPr>
              <w:pStyle w:val="16"/>
            </w:pPr>
            <w:r>
              <w:t>2.通过项目的开展，人员及时到岗，成本控制在预算范围内，满足工作需要，保障全年工作的正常运行，提升政务能力及工作效率，进一步加强生态环境监管执法水平、应急救援实力、城市管理水平和效率。</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项目数量</w:t>
            </w:r>
          </w:p>
        </w:tc>
        <w:tc>
          <w:tcPr>
            <w:tcW w:w="2835" w:type="dxa"/>
            <w:vAlign w:val="center"/>
          </w:tcPr>
          <w:p>
            <w:pPr>
              <w:pStyle w:val="16"/>
            </w:pPr>
            <w:r>
              <w:t>年度实施项目数量</w:t>
            </w:r>
          </w:p>
        </w:tc>
        <w:tc>
          <w:tcPr>
            <w:tcW w:w="2551" w:type="dxa"/>
            <w:vAlign w:val="center"/>
          </w:tcPr>
          <w:p>
            <w:pPr>
              <w:pStyle w:val="16"/>
            </w:pPr>
            <w:r>
              <w:t>≥5个</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审批辅助人员数量</w:t>
            </w:r>
          </w:p>
        </w:tc>
        <w:tc>
          <w:tcPr>
            <w:tcW w:w="2835" w:type="dxa"/>
            <w:vAlign w:val="center"/>
          </w:tcPr>
          <w:p>
            <w:pPr>
              <w:pStyle w:val="16"/>
            </w:pPr>
            <w:r>
              <w:t>审批辅助人员数量</w:t>
            </w:r>
          </w:p>
        </w:tc>
        <w:tc>
          <w:tcPr>
            <w:tcW w:w="2551" w:type="dxa"/>
            <w:vAlign w:val="center"/>
          </w:tcPr>
          <w:p>
            <w:pPr>
              <w:pStyle w:val="16"/>
            </w:pPr>
            <w:r>
              <w:t>≥25人</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疫情防控及信访聘用人员数量</w:t>
            </w:r>
          </w:p>
        </w:tc>
        <w:tc>
          <w:tcPr>
            <w:tcW w:w="2835" w:type="dxa"/>
            <w:vAlign w:val="center"/>
          </w:tcPr>
          <w:p>
            <w:pPr>
              <w:pStyle w:val="16"/>
            </w:pPr>
            <w:r>
              <w:t>疫情防控及信访聘用人员数量</w:t>
            </w:r>
          </w:p>
        </w:tc>
        <w:tc>
          <w:tcPr>
            <w:tcW w:w="2551" w:type="dxa"/>
            <w:vAlign w:val="center"/>
          </w:tcPr>
          <w:p>
            <w:pPr>
              <w:pStyle w:val="16"/>
            </w:pPr>
            <w:r>
              <w:t>≥7人</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消防站购买服务人数</w:t>
            </w:r>
          </w:p>
        </w:tc>
        <w:tc>
          <w:tcPr>
            <w:tcW w:w="2835" w:type="dxa"/>
            <w:vAlign w:val="center"/>
          </w:tcPr>
          <w:p>
            <w:pPr>
              <w:pStyle w:val="16"/>
            </w:pPr>
            <w:r>
              <w:t>购买服务专职队员60名，文职8名</w:t>
            </w:r>
          </w:p>
        </w:tc>
        <w:tc>
          <w:tcPr>
            <w:tcW w:w="2551" w:type="dxa"/>
            <w:vAlign w:val="center"/>
          </w:tcPr>
          <w:p>
            <w:pPr>
              <w:pStyle w:val="16"/>
            </w:pPr>
            <w:r>
              <w:t>≥68人</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聘用人员工作质量达标率</w:t>
            </w:r>
          </w:p>
        </w:tc>
        <w:tc>
          <w:tcPr>
            <w:tcW w:w="2835" w:type="dxa"/>
            <w:vAlign w:val="center"/>
          </w:tcPr>
          <w:p>
            <w:pPr>
              <w:pStyle w:val="16"/>
            </w:pPr>
            <w:r>
              <w:t>工作质量达标数量/聘用总人数*100%</w:t>
            </w:r>
          </w:p>
        </w:tc>
        <w:tc>
          <w:tcPr>
            <w:tcW w:w="2551" w:type="dxa"/>
            <w:vAlign w:val="center"/>
          </w:tcPr>
          <w:p>
            <w:pPr>
              <w:pStyle w:val="16"/>
            </w:pPr>
            <w:r>
              <w:t>≥90%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辅助人员到岗及时性</w:t>
            </w:r>
          </w:p>
        </w:tc>
        <w:tc>
          <w:tcPr>
            <w:tcW w:w="2835" w:type="dxa"/>
            <w:vAlign w:val="center"/>
          </w:tcPr>
          <w:p>
            <w:pPr>
              <w:pStyle w:val="16"/>
            </w:pPr>
            <w:r>
              <w:t>考察辅助人员到岗及时情况</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各项工作完成及时率</w:t>
            </w:r>
          </w:p>
        </w:tc>
        <w:tc>
          <w:tcPr>
            <w:tcW w:w="2835" w:type="dxa"/>
            <w:vAlign w:val="center"/>
          </w:tcPr>
          <w:p>
            <w:pPr>
              <w:pStyle w:val="16"/>
            </w:pPr>
            <w:r>
              <w:t>工作按计划及时完成数量/计划开展工作总数×100%</w:t>
            </w:r>
          </w:p>
        </w:tc>
        <w:tc>
          <w:tcPr>
            <w:tcW w:w="2551" w:type="dxa"/>
            <w:vAlign w:val="center"/>
          </w:tcPr>
          <w:p>
            <w:pPr>
              <w:pStyle w:val="16"/>
            </w:pPr>
            <w:r>
              <w:t>≥90％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考察项目总成本控制情况</w:t>
            </w:r>
          </w:p>
        </w:tc>
        <w:tc>
          <w:tcPr>
            <w:tcW w:w="2551" w:type="dxa"/>
            <w:vAlign w:val="center"/>
          </w:tcPr>
          <w:p>
            <w:pPr>
              <w:pStyle w:val="16"/>
            </w:pPr>
            <w:r>
              <w:t>≤2000万元</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保障工作顺利进行</w:t>
            </w:r>
          </w:p>
        </w:tc>
        <w:tc>
          <w:tcPr>
            <w:tcW w:w="2835" w:type="dxa"/>
            <w:vAlign w:val="center"/>
          </w:tcPr>
          <w:p>
            <w:pPr>
              <w:pStyle w:val="16"/>
            </w:pPr>
            <w:r>
              <w:t>保障工作顺利进行</w:t>
            </w:r>
          </w:p>
        </w:tc>
        <w:tc>
          <w:tcPr>
            <w:tcW w:w="2551" w:type="dxa"/>
            <w:vAlign w:val="center"/>
          </w:tcPr>
          <w:p>
            <w:pPr>
              <w:pStyle w:val="16"/>
            </w:pPr>
            <w:r>
              <w:t>保障</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群众满意人数/群众调查总人数*100%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、南区广电网络视频会议系统建设项目绩效目标表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1.为了满足临空经济区南区正常收听收看国家、省、市以视频形式召开的各类重要会议，确保上级会议精神和指示要求迅速传达部署到位，需开展本项目。</w:t>
            </w:r>
          </w:p>
          <w:p>
            <w:pPr>
              <w:pStyle w:val="16"/>
            </w:pPr>
            <w:r>
              <w:t>2.本项目确保临空经济区南区能够使用广电网络视频会议系统正常收听收看国家、省、市以视频形式召开的各类重要会议。</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广电网络视频线路</w:t>
            </w:r>
          </w:p>
        </w:tc>
        <w:tc>
          <w:tcPr>
            <w:tcW w:w="2835" w:type="dxa"/>
            <w:vAlign w:val="center"/>
          </w:tcPr>
          <w:p>
            <w:pPr>
              <w:pStyle w:val="16"/>
            </w:pPr>
            <w:r>
              <w:t>广电网络视频线路条数</w:t>
            </w:r>
          </w:p>
        </w:tc>
        <w:tc>
          <w:tcPr>
            <w:tcW w:w="2551" w:type="dxa"/>
            <w:vAlign w:val="center"/>
          </w:tcPr>
          <w:p>
            <w:pPr>
              <w:pStyle w:val="16"/>
            </w:pPr>
            <w:r>
              <w:t>1条</w:t>
            </w:r>
          </w:p>
        </w:tc>
        <w:tc>
          <w:tcPr>
            <w:tcW w:w="2268" w:type="dxa"/>
            <w:vAlign w:val="center"/>
          </w:tcPr>
          <w:p>
            <w:pPr>
              <w:pStyle w:val="16"/>
            </w:pPr>
            <w:r>
              <w:t>实际需求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线路搭建完成时限</w:t>
            </w:r>
          </w:p>
        </w:tc>
        <w:tc>
          <w:tcPr>
            <w:tcW w:w="2551" w:type="dxa"/>
            <w:vAlign w:val="center"/>
          </w:tcPr>
          <w:p>
            <w:pPr>
              <w:pStyle w:val="16"/>
            </w:pPr>
            <w:r>
              <w:t>1月</w:t>
            </w:r>
          </w:p>
        </w:tc>
        <w:tc>
          <w:tcPr>
            <w:tcW w:w="2268" w:type="dxa"/>
            <w:vAlign w:val="center"/>
          </w:tcPr>
          <w:p>
            <w:pPr>
              <w:pStyle w:val="16"/>
            </w:pPr>
            <w:r>
              <w:t>单位需要</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广电网络视频系统设备</w:t>
            </w:r>
          </w:p>
        </w:tc>
        <w:tc>
          <w:tcPr>
            <w:tcW w:w="2835" w:type="dxa"/>
            <w:vAlign w:val="center"/>
          </w:tcPr>
          <w:p>
            <w:pPr>
              <w:pStyle w:val="16"/>
            </w:pPr>
            <w:r>
              <w:t>广电网络视频系统设备采购费</w:t>
            </w:r>
          </w:p>
        </w:tc>
        <w:tc>
          <w:tcPr>
            <w:tcW w:w="2551" w:type="dxa"/>
            <w:vAlign w:val="center"/>
          </w:tcPr>
          <w:p>
            <w:pPr>
              <w:pStyle w:val="16"/>
            </w:pPr>
            <w:r>
              <w:t>≤9.8万</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广电网络视频系统施工</w:t>
            </w:r>
          </w:p>
        </w:tc>
        <w:tc>
          <w:tcPr>
            <w:tcW w:w="2835" w:type="dxa"/>
            <w:vAlign w:val="center"/>
          </w:tcPr>
          <w:p>
            <w:pPr>
              <w:pStyle w:val="16"/>
            </w:pPr>
            <w:r>
              <w:t>广电网络视频系统施工费</w:t>
            </w:r>
          </w:p>
        </w:tc>
        <w:tc>
          <w:tcPr>
            <w:tcW w:w="2551" w:type="dxa"/>
            <w:vAlign w:val="center"/>
          </w:tcPr>
          <w:p>
            <w:pPr>
              <w:pStyle w:val="16"/>
            </w:pPr>
            <w:r>
              <w:t>≤1.85万</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广电网络视频系统材料</w:t>
            </w:r>
          </w:p>
        </w:tc>
        <w:tc>
          <w:tcPr>
            <w:tcW w:w="2835" w:type="dxa"/>
            <w:vAlign w:val="center"/>
          </w:tcPr>
          <w:p>
            <w:pPr>
              <w:pStyle w:val="16"/>
            </w:pPr>
            <w:r>
              <w:t>广电网络视频系统材料费</w:t>
            </w:r>
          </w:p>
        </w:tc>
        <w:tc>
          <w:tcPr>
            <w:tcW w:w="2551" w:type="dxa"/>
            <w:vAlign w:val="center"/>
          </w:tcPr>
          <w:p>
            <w:pPr>
              <w:pStyle w:val="16"/>
            </w:pPr>
            <w:r>
              <w:t>≤3.45万</w:t>
            </w:r>
          </w:p>
        </w:tc>
        <w:tc>
          <w:tcPr>
            <w:tcW w:w="2268" w:type="dxa"/>
            <w:vAlign w:val="center"/>
          </w:tcPr>
          <w:p>
            <w:pPr>
              <w:pStyle w:val="16"/>
            </w:pPr>
            <w:r>
              <w:t>合同约定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广电机顶盒收视费</w:t>
            </w:r>
          </w:p>
        </w:tc>
        <w:tc>
          <w:tcPr>
            <w:tcW w:w="2835" w:type="dxa"/>
            <w:vAlign w:val="center"/>
          </w:tcPr>
          <w:p>
            <w:pPr>
              <w:pStyle w:val="16"/>
            </w:pPr>
            <w:r>
              <w:t>广电机顶盒收视费</w:t>
            </w:r>
          </w:p>
        </w:tc>
        <w:tc>
          <w:tcPr>
            <w:tcW w:w="2551" w:type="dxa"/>
            <w:vAlign w:val="center"/>
          </w:tcPr>
          <w:p>
            <w:pPr>
              <w:pStyle w:val="16"/>
            </w:pPr>
            <w:r>
              <w:t>≤0.1万</w:t>
            </w:r>
          </w:p>
        </w:tc>
        <w:tc>
          <w:tcPr>
            <w:tcW w:w="2268" w:type="dxa"/>
            <w:vAlign w:val="center"/>
          </w:tcPr>
          <w:p>
            <w:pPr>
              <w:pStyle w:val="16"/>
            </w:pPr>
            <w:r>
              <w:t>合同约定</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广电视频会议信号流畅度</w:t>
            </w:r>
          </w:p>
        </w:tc>
        <w:tc>
          <w:tcPr>
            <w:tcW w:w="2835" w:type="dxa"/>
            <w:vAlign w:val="center"/>
          </w:tcPr>
          <w:p>
            <w:pPr>
              <w:pStyle w:val="16"/>
            </w:pPr>
            <w:r>
              <w:t>视频会议信号流畅程度</w:t>
            </w:r>
          </w:p>
        </w:tc>
        <w:tc>
          <w:tcPr>
            <w:tcW w:w="2551" w:type="dxa"/>
            <w:vAlign w:val="center"/>
          </w:tcPr>
          <w:p>
            <w:pPr>
              <w:pStyle w:val="16"/>
            </w:pPr>
            <w:r>
              <w:t>流畅</w:t>
            </w:r>
          </w:p>
        </w:tc>
        <w:tc>
          <w:tcPr>
            <w:tcW w:w="2268" w:type="dxa"/>
            <w:vAlign w:val="center"/>
          </w:tcPr>
          <w:p>
            <w:pPr>
              <w:pStyle w:val="16"/>
            </w:pPr>
            <w:r>
              <w:t>工作需求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部门满意度</w:t>
            </w:r>
          </w:p>
        </w:tc>
        <w:tc>
          <w:tcPr>
            <w:tcW w:w="2835" w:type="dxa"/>
            <w:vAlign w:val="center"/>
          </w:tcPr>
          <w:p>
            <w:pPr>
              <w:pStyle w:val="16"/>
            </w:pPr>
            <w:r>
              <w:t>各部门对会议线路传输的满意</w:t>
            </w:r>
          </w:p>
        </w:tc>
        <w:tc>
          <w:tcPr>
            <w:tcW w:w="2551" w:type="dxa"/>
            <w:vAlign w:val="center"/>
          </w:tcPr>
          <w:p>
            <w:pPr>
              <w:pStyle w:val="16"/>
            </w:pPr>
            <w:r>
              <w:t>≥95%</w:t>
            </w:r>
          </w:p>
        </w:tc>
        <w:tc>
          <w:tcPr>
            <w:tcW w:w="2268" w:type="dxa"/>
            <w:vAlign w:val="center"/>
          </w:tcPr>
          <w:p>
            <w:pPr>
              <w:pStyle w:val="16"/>
            </w:pPr>
            <w:r>
              <w:t>单位标准</w:t>
            </w:r>
          </w:p>
          <w:p>
            <w:pPr>
              <w:pStyle w:val="16"/>
            </w:pPr>
            <w:r>
              <w:t>保障服务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、农业土地开发资金绩效目标表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1.完成农业土地开发资金安排的支出</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农业土地开发资金安排</w:t>
            </w:r>
          </w:p>
        </w:tc>
        <w:tc>
          <w:tcPr>
            <w:tcW w:w="2835" w:type="dxa"/>
            <w:vAlign w:val="center"/>
          </w:tcPr>
          <w:p>
            <w:pPr>
              <w:pStyle w:val="16"/>
            </w:pPr>
            <w:r>
              <w:t>农业土地开发资金安排</w:t>
            </w:r>
          </w:p>
        </w:tc>
        <w:tc>
          <w:tcPr>
            <w:tcW w:w="2551" w:type="dxa"/>
            <w:vAlign w:val="center"/>
          </w:tcPr>
          <w:p>
            <w:pPr>
              <w:pStyle w:val="16"/>
            </w:pPr>
            <w:r>
              <w:t>500万元</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合格率</w:t>
            </w:r>
          </w:p>
        </w:tc>
        <w:tc>
          <w:tcPr>
            <w:tcW w:w="2551" w:type="dxa"/>
            <w:vAlign w:val="center"/>
          </w:tcPr>
          <w:p>
            <w:pPr>
              <w:pStyle w:val="16"/>
            </w:pPr>
            <w:r>
              <w:t>≥95%</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≥98%</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≤500万元</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发展可持续</w:t>
            </w:r>
          </w:p>
        </w:tc>
        <w:tc>
          <w:tcPr>
            <w:tcW w:w="2835" w:type="dxa"/>
            <w:vAlign w:val="center"/>
          </w:tcPr>
          <w:p>
            <w:pPr>
              <w:pStyle w:val="16"/>
            </w:pPr>
            <w:r>
              <w:t>提升区域发展可持续能力</w:t>
            </w:r>
          </w:p>
        </w:tc>
        <w:tc>
          <w:tcPr>
            <w:tcW w:w="2551" w:type="dxa"/>
            <w:vAlign w:val="center"/>
          </w:tcPr>
          <w:p>
            <w:pPr>
              <w:pStyle w:val="16"/>
            </w:pPr>
            <w:r>
              <w:t>提升</w:t>
            </w:r>
          </w:p>
        </w:tc>
        <w:tc>
          <w:tcPr>
            <w:tcW w:w="2268" w:type="dxa"/>
            <w:vAlign w:val="center"/>
          </w:tcPr>
          <w:p>
            <w:pPr>
              <w:pStyle w:val="16"/>
            </w:pPr>
            <w:r>
              <w:t>根据项目实际情况确定</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完成情况</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89</w:t>
      </w:r>
      <w:r>
        <w:rPr>
          <w:rFonts w:ascii="方正仿宋_GBK" w:hAnsi="方正仿宋_GBK" w:eastAsia="方正仿宋_GBK" w:cs="方正仿宋_GBK"/>
          <w:b/>
          <w:color w:val="000000"/>
          <w:sz w:val="28"/>
        </w:rPr>
        <w:t>、企业服务运行辅助服务绩效目标表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1.完成产业服务体系落地服务，打造临空良好的营商环境。</w:t>
            </w:r>
          </w:p>
          <w:p>
            <w:pPr>
              <w:pStyle w:val="16"/>
            </w:pPr>
            <w:r>
              <w:t>2.完成辅助人员到岗，开展产业服务工作。</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派遣人数</w:t>
            </w:r>
          </w:p>
        </w:tc>
        <w:tc>
          <w:tcPr>
            <w:tcW w:w="2835" w:type="dxa"/>
            <w:vAlign w:val="center"/>
          </w:tcPr>
          <w:p>
            <w:pPr>
              <w:pStyle w:val="16"/>
            </w:pPr>
            <w:r>
              <w:t>劳务公司提供的派遣到岗人员数量</w:t>
            </w:r>
          </w:p>
        </w:tc>
        <w:tc>
          <w:tcPr>
            <w:tcW w:w="2551" w:type="dxa"/>
            <w:vAlign w:val="center"/>
          </w:tcPr>
          <w:p>
            <w:pPr>
              <w:pStyle w:val="16"/>
            </w:pPr>
            <w:r>
              <w:t>5人</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人员到岗率</w:t>
            </w:r>
          </w:p>
        </w:tc>
        <w:tc>
          <w:tcPr>
            <w:tcW w:w="2835" w:type="dxa"/>
            <w:vAlign w:val="center"/>
          </w:tcPr>
          <w:p>
            <w:pPr>
              <w:pStyle w:val="16"/>
            </w:pPr>
            <w:r>
              <w:t>按合同计划时间实际到岗人数与计划人数占比</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岗前培训合格率</w:t>
            </w:r>
          </w:p>
        </w:tc>
        <w:tc>
          <w:tcPr>
            <w:tcW w:w="2835" w:type="dxa"/>
            <w:vAlign w:val="center"/>
          </w:tcPr>
          <w:p>
            <w:pPr>
              <w:pStyle w:val="16"/>
            </w:pPr>
            <w:r>
              <w:t>派遣人员参加岗前考核通过合格率</w:t>
            </w:r>
          </w:p>
        </w:tc>
        <w:tc>
          <w:tcPr>
            <w:tcW w:w="2551" w:type="dxa"/>
            <w:vAlign w:val="center"/>
          </w:tcPr>
          <w:p>
            <w:pPr>
              <w:pStyle w:val="16"/>
            </w:pPr>
            <w:r>
              <w:t>100%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≤60万元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提高临空经济区企业服务质量</w:t>
            </w:r>
          </w:p>
        </w:tc>
        <w:tc>
          <w:tcPr>
            <w:tcW w:w="2835" w:type="dxa"/>
            <w:vAlign w:val="center"/>
          </w:tcPr>
          <w:p>
            <w:pPr>
              <w:pStyle w:val="16"/>
            </w:pPr>
            <w:r>
              <w:t>提高临空经济区企业服务质量</w:t>
            </w:r>
          </w:p>
        </w:tc>
        <w:tc>
          <w:tcPr>
            <w:tcW w:w="2551" w:type="dxa"/>
            <w:vAlign w:val="center"/>
          </w:tcPr>
          <w:p>
            <w:pPr>
              <w:pStyle w:val="16"/>
            </w:pPr>
            <w:r>
              <w:t>提供企业服务质量</w:t>
            </w:r>
          </w:p>
        </w:tc>
        <w:tc>
          <w:tcPr>
            <w:tcW w:w="2268" w:type="dxa"/>
            <w:vAlign w:val="center"/>
          </w:tcPr>
          <w:p>
            <w:pPr>
              <w:pStyle w:val="16"/>
            </w:pP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有效年限</w:t>
            </w:r>
          </w:p>
        </w:tc>
        <w:tc>
          <w:tcPr>
            <w:tcW w:w="2835" w:type="dxa"/>
            <w:vAlign w:val="center"/>
          </w:tcPr>
          <w:p>
            <w:pPr>
              <w:pStyle w:val="16"/>
            </w:pPr>
            <w:r>
              <w:t>人员到岗工作时限</w:t>
            </w:r>
          </w:p>
        </w:tc>
        <w:tc>
          <w:tcPr>
            <w:tcW w:w="2551" w:type="dxa"/>
            <w:vAlign w:val="center"/>
          </w:tcPr>
          <w:p>
            <w:pPr>
              <w:pStyle w:val="16"/>
            </w:pPr>
            <w:r>
              <w:t>1年</w:t>
            </w:r>
          </w:p>
        </w:tc>
        <w:tc>
          <w:tcPr>
            <w:tcW w:w="2268" w:type="dxa"/>
            <w:vAlign w:val="center"/>
          </w:tcPr>
          <w:p>
            <w:pPr>
              <w:pStyle w:val="16"/>
            </w:pP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、审计服务项目绩效目标表</w:t>
      </w:r>
    </w:p>
    <w:tbl>
      <w:tblPr>
        <w:tblStyle w:val="8"/>
        <w:tblW w:w="1417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46"/>
        <w:gridCol w:w="12332"/>
      </w:tblGrid>
      <w:tr>
        <w:trPr>
          <w:trHeight w:val="397" w:hRule="atLeast"/>
          <w:jc w:val="center"/>
        </w:trPr>
        <w:tc>
          <w:tcPr>
            <w:tcW w:w="184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1.随着廊坊临空经济区规划建设工作逐步展开，管委会各（办）局业务需求不断增加，亟需引入三方服务完善内审制度，并逐步建立审计体系，依法使用债券资金，防范财务风险，防范和控制建设成本。</w:t>
            </w:r>
          </w:p>
          <w:p>
            <w:pPr>
              <w:pStyle w:val="16"/>
            </w:pPr>
            <w:r>
              <w:t>2.通过项目的开展，完成对新增对新增88亿和110亿地方政府专项债券跟踪审计及2022年内审工作，专项债券跟踪审计工作达标率100%，成本控制在预算范围内，规范债券资金拨付使用程序，确保债券资金使用安全。</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新增地方政府专项债券跟踪审计数量</w:t>
            </w:r>
          </w:p>
        </w:tc>
        <w:tc>
          <w:tcPr>
            <w:tcW w:w="2835" w:type="dxa"/>
            <w:vAlign w:val="center"/>
          </w:tcPr>
          <w:p>
            <w:pPr>
              <w:pStyle w:val="16"/>
            </w:pPr>
            <w:r>
              <w:t>考察新增地方政府专项债券跟踪审计数量</w:t>
            </w:r>
          </w:p>
        </w:tc>
        <w:tc>
          <w:tcPr>
            <w:tcW w:w="2551" w:type="dxa"/>
            <w:vAlign w:val="center"/>
          </w:tcPr>
          <w:p>
            <w:pPr>
              <w:pStyle w:val="16"/>
            </w:pPr>
            <w:r>
              <w:t>2次</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提交审计成果文件数量</w:t>
            </w:r>
          </w:p>
        </w:tc>
        <w:tc>
          <w:tcPr>
            <w:tcW w:w="2835" w:type="dxa"/>
            <w:vAlign w:val="center"/>
          </w:tcPr>
          <w:p>
            <w:pPr>
              <w:pStyle w:val="16"/>
            </w:pPr>
            <w:r>
              <w:t>提交审计成果文件数量</w:t>
            </w:r>
          </w:p>
        </w:tc>
        <w:tc>
          <w:tcPr>
            <w:tcW w:w="2551" w:type="dxa"/>
            <w:vAlign w:val="center"/>
          </w:tcPr>
          <w:p>
            <w:pPr>
              <w:pStyle w:val="16"/>
            </w:pPr>
            <w:r>
              <w:t>3份</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专项债券跟踪审计、审计成果工作达标率</w:t>
            </w:r>
          </w:p>
        </w:tc>
        <w:tc>
          <w:tcPr>
            <w:tcW w:w="2835" w:type="dxa"/>
            <w:vAlign w:val="center"/>
          </w:tcPr>
          <w:p>
            <w:pPr>
              <w:pStyle w:val="16"/>
            </w:pPr>
            <w:r>
              <w:t>达到合同约定标准数量/审计成果、跟踪审计工作总数量*100%</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审计完成及时性</w:t>
            </w:r>
          </w:p>
        </w:tc>
        <w:tc>
          <w:tcPr>
            <w:tcW w:w="2835" w:type="dxa"/>
            <w:vAlign w:val="center"/>
          </w:tcPr>
          <w:p>
            <w:pPr>
              <w:pStyle w:val="16"/>
            </w:pPr>
            <w:r>
              <w:t>考察审计完成及时情况</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新增地方政府专项债券跟踪审计成本</w:t>
            </w:r>
          </w:p>
        </w:tc>
        <w:tc>
          <w:tcPr>
            <w:tcW w:w="2835" w:type="dxa"/>
            <w:vAlign w:val="center"/>
          </w:tcPr>
          <w:p>
            <w:pPr>
              <w:pStyle w:val="16"/>
            </w:pPr>
            <w:r>
              <w:t>考察新增地方政府专项债券跟踪审计成本</w:t>
            </w:r>
          </w:p>
        </w:tc>
        <w:tc>
          <w:tcPr>
            <w:tcW w:w="2551" w:type="dxa"/>
            <w:vAlign w:val="center"/>
          </w:tcPr>
          <w:p>
            <w:pPr>
              <w:pStyle w:val="16"/>
            </w:pPr>
            <w:r>
              <w:t>≤60万元</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2022年内审成本</w:t>
            </w:r>
          </w:p>
        </w:tc>
        <w:tc>
          <w:tcPr>
            <w:tcW w:w="2835" w:type="dxa"/>
            <w:vAlign w:val="center"/>
          </w:tcPr>
          <w:p>
            <w:pPr>
              <w:pStyle w:val="16"/>
            </w:pPr>
            <w:r>
              <w:t>考察2022年内审成本</w:t>
            </w:r>
          </w:p>
        </w:tc>
        <w:tc>
          <w:tcPr>
            <w:tcW w:w="2551" w:type="dxa"/>
            <w:vAlign w:val="center"/>
          </w:tcPr>
          <w:p>
            <w:pPr>
              <w:pStyle w:val="16"/>
            </w:pPr>
            <w:r>
              <w:t>≤10万元</w:t>
            </w:r>
          </w:p>
        </w:tc>
        <w:tc>
          <w:tcPr>
            <w:tcW w:w="2268" w:type="dxa"/>
            <w:vAlign w:val="center"/>
          </w:tcPr>
          <w:p>
            <w:pPr>
              <w:pStyle w:val="16"/>
            </w:pPr>
            <w:r>
              <w:t>工作计划</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提高债券资金使用效益</w:t>
            </w:r>
          </w:p>
        </w:tc>
        <w:tc>
          <w:tcPr>
            <w:tcW w:w="2835" w:type="dxa"/>
            <w:vAlign w:val="center"/>
          </w:tcPr>
          <w:p>
            <w:pPr>
              <w:pStyle w:val="16"/>
            </w:pPr>
            <w:r>
              <w:t>提高债券资金使用效益</w:t>
            </w:r>
          </w:p>
        </w:tc>
        <w:tc>
          <w:tcPr>
            <w:tcW w:w="2551" w:type="dxa"/>
            <w:vAlign w:val="center"/>
          </w:tcPr>
          <w:p>
            <w:pPr>
              <w:pStyle w:val="16"/>
            </w:pPr>
            <w:r>
              <w:t>提高</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有效保障债券资金使用安全</w:t>
            </w:r>
          </w:p>
        </w:tc>
        <w:tc>
          <w:tcPr>
            <w:tcW w:w="2835" w:type="dxa"/>
            <w:vAlign w:val="center"/>
          </w:tcPr>
          <w:p>
            <w:pPr>
              <w:pStyle w:val="16"/>
            </w:pPr>
            <w:r>
              <w:t>有效保障债券资金使用安全</w:t>
            </w:r>
          </w:p>
        </w:tc>
        <w:tc>
          <w:tcPr>
            <w:tcW w:w="2551" w:type="dxa"/>
            <w:vAlign w:val="center"/>
          </w:tcPr>
          <w:p>
            <w:pPr>
              <w:pStyle w:val="16"/>
            </w:pPr>
            <w:r>
              <w:t>有效保障</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提高审计成果利用率</w:t>
            </w:r>
          </w:p>
        </w:tc>
        <w:tc>
          <w:tcPr>
            <w:tcW w:w="2835" w:type="dxa"/>
            <w:vAlign w:val="center"/>
          </w:tcPr>
          <w:p>
            <w:pPr>
              <w:pStyle w:val="16"/>
            </w:pPr>
            <w:r>
              <w:t>审计成果使用数量/审计成果总数量*100%</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综合办工作人员满意度</w:t>
            </w:r>
          </w:p>
        </w:tc>
        <w:tc>
          <w:tcPr>
            <w:tcW w:w="2835" w:type="dxa"/>
            <w:vAlign w:val="center"/>
          </w:tcPr>
          <w:p>
            <w:pPr>
              <w:pStyle w:val="16"/>
            </w:pPr>
            <w:r>
              <w:t>综合办对审计工作满意人数/调查总人数*100%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、生产建设项目水土保持补偿费绩效目标表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1.涉及2023年建设工程共12个，按照建设项目规模，依法完成水土保持补偿费的缴纳，确保建设项目的合规合法，满足项目开工条件</w:t>
            </w:r>
          </w:p>
          <w:p>
            <w:pPr>
              <w:pStyle w:val="16"/>
            </w:pPr>
            <w:r>
              <w:t>2.按照建设项目水土保持手续流程完成水土保持补偿费的缴纳工作</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建设项目水土保持方案审批通过数量</w:t>
            </w:r>
          </w:p>
        </w:tc>
        <w:tc>
          <w:tcPr>
            <w:tcW w:w="2835" w:type="dxa"/>
            <w:vAlign w:val="center"/>
          </w:tcPr>
          <w:p>
            <w:pPr>
              <w:pStyle w:val="16"/>
            </w:pPr>
            <w:r>
              <w:t>通过水土保持方案审批、接受监管的项目数量达到要求</w:t>
            </w:r>
          </w:p>
        </w:tc>
        <w:tc>
          <w:tcPr>
            <w:tcW w:w="2551" w:type="dxa"/>
            <w:vAlign w:val="center"/>
          </w:tcPr>
          <w:p>
            <w:pPr>
              <w:pStyle w:val="16"/>
            </w:pPr>
            <w:r>
              <w:t>≥8个</w:t>
            </w:r>
          </w:p>
        </w:tc>
        <w:tc>
          <w:tcPr>
            <w:tcW w:w="2268" w:type="dxa"/>
            <w:vAlign w:val="center"/>
          </w:tcPr>
          <w:p>
            <w:pPr>
              <w:pStyle w:val="16"/>
            </w:pPr>
            <w:r>
              <w:t>建设项目水土保持方案批复</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水土保持监管合格率</w:t>
            </w:r>
          </w:p>
        </w:tc>
        <w:tc>
          <w:tcPr>
            <w:tcW w:w="2835" w:type="dxa"/>
            <w:vAlign w:val="center"/>
          </w:tcPr>
          <w:p>
            <w:pPr>
              <w:pStyle w:val="16"/>
            </w:pPr>
            <w:r>
              <w:t>水土保持监管合格数量/总监管数量*100%</w:t>
            </w:r>
          </w:p>
        </w:tc>
        <w:tc>
          <w:tcPr>
            <w:tcW w:w="2551" w:type="dxa"/>
            <w:vAlign w:val="center"/>
          </w:tcPr>
          <w:p>
            <w:pPr>
              <w:pStyle w:val="16"/>
            </w:pPr>
            <w:r>
              <w:t>100%</w:t>
            </w:r>
          </w:p>
        </w:tc>
        <w:tc>
          <w:tcPr>
            <w:tcW w:w="2268" w:type="dxa"/>
            <w:vAlign w:val="center"/>
          </w:tcPr>
          <w:p>
            <w:pPr>
              <w:pStyle w:val="16"/>
            </w:pPr>
            <w:r>
              <w:t>无监管部门整改通知、督办单</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完成审批所需时间</w:t>
            </w:r>
          </w:p>
        </w:tc>
        <w:tc>
          <w:tcPr>
            <w:tcW w:w="2551" w:type="dxa"/>
            <w:vAlign w:val="center"/>
          </w:tcPr>
          <w:p>
            <w:pPr>
              <w:pStyle w:val="16"/>
            </w:pPr>
            <w:r>
              <w:t>12月底前</w:t>
            </w:r>
          </w:p>
        </w:tc>
        <w:tc>
          <w:tcPr>
            <w:tcW w:w="2268" w:type="dxa"/>
            <w:vAlign w:val="center"/>
          </w:tcPr>
          <w:p>
            <w:pPr>
              <w:pStyle w:val="16"/>
            </w:pPr>
            <w:r>
              <w:t>依照批复时间及缴费通知时间</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成本控制总价</w:t>
            </w:r>
          </w:p>
        </w:tc>
        <w:tc>
          <w:tcPr>
            <w:tcW w:w="2835" w:type="dxa"/>
            <w:vAlign w:val="center"/>
          </w:tcPr>
          <w:p>
            <w:pPr>
              <w:pStyle w:val="16"/>
            </w:pPr>
            <w:r>
              <w:t>考察完成审批、监管最终成本</w:t>
            </w:r>
          </w:p>
        </w:tc>
        <w:tc>
          <w:tcPr>
            <w:tcW w:w="2551" w:type="dxa"/>
            <w:vAlign w:val="center"/>
          </w:tcPr>
          <w:p>
            <w:pPr>
              <w:pStyle w:val="16"/>
            </w:pPr>
            <w:r>
              <w:t>≤434万元</w:t>
            </w:r>
          </w:p>
        </w:tc>
        <w:tc>
          <w:tcPr>
            <w:tcW w:w="2268" w:type="dxa"/>
            <w:vAlign w:val="center"/>
          </w:tcPr>
          <w:p>
            <w:pPr>
              <w:pStyle w:val="16"/>
            </w:pPr>
            <w:r>
              <w:t>依照批复文件及缴费通知单</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提高区域水土流失防治水平</w:t>
            </w:r>
          </w:p>
        </w:tc>
        <w:tc>
          <w:tcPr>
            <w:tcW w:w="2835" w:type="dxa"/>
            <w:vAlign w:val="center"/>
          </w:tcPr>
          <w:p>
            <w:pPr>
              <w:pStyle w:val="16"/>
            </w:pPr>
            <w:r>
              <w:t>通过缴纳补偿费用于区域水土流失治理，提升水土保持能力</w:t>
            </w:r>
          </w:p>
        </w:tc>
        <w:tc>
          <w:tcPr>
            <w:tcW w:w="2551" w:type="dxa"/>
            <w:vAlign w:val="center"/>
          </w:tcPr>
          <w:p>
            <w:pPr>
              <w:pStyle w:val="16"/>
            </w:pPr>
            <w:r>
              <w:t>提升</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调查问卷满意人数/调查问卷总人数*100%</w:t>
            </w:r>
          </w:p>
        </w:tc>
        <w:tc>
          <w:tcPr>
            <w:tcW w:w="2551" w:type="dxa"/>
            <w:vAlign w:val="center"/>
          </w:tcPr>
          <w:p>
            <w:pPr>
              <w:pStyle w:val="16"/>
            </w:pPr>
            <w:r>
              <w:t>≥90%</w:t>
            </w:r>
          </w:p>
        </w:tc>
        <w:tc>
          <w:tcPr>
            <w:tcW w:w="2268" w:type="dxa"/>
            <w:vAlign w:val="center"/>
          </w:tcPr>
          <w:p>
            <w:pPr>
              <w:pStyle w:val="16"/>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、生命港及周边附属配套基础设施项目前期手续费绩效目标表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numPr>
                <w:ilvl w:val="0"/>
                <w:numId w:val="1"/>
              </w:numPr>
            </w:pPr>
            <w:r>
              <w:t>通过该项目的实施确保2022年北京大兴国际机场临空经济区（廊坊）专项债券项目成功申报；提升区域社会影响力、区域价值，促进区域基础设施建设顺利开展。</w:t>
            </w:r>
          </w:p>
          <w:p>
            <w:pPr>
              <w:pStyle w:val="16"/>
              <w:numPr>
                <w:ilvl w:val="0"/>
                <w:numId w:val="1"/>
              </w:numPr>
            </w:pPr>
            <w:r>
              <w:t>.通过项目的开展，编制可行性研究报告不少于3份，社会稳定性风险分析报告不少于1份，项目建议书不少于1份，用地预审及选址意见报告编制不少于1份，规划衔接方案不少于1份，保障临空经济区基础设施建设顺利开展。提升区域社会影响力、区域价值，促进区域基础设施建设顺利开展。</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社会稳定性分析分析报告</w:t>
            </w:r>
          </w:p>
        </w:tc>
        <w:tc>
          <w:tcPr>
            <w:tcW w:w="2835" w:type="dxa"/>
            <w:vAlign w:val="center"/>
          </w:tcPr>
          <w:p>
            <w:pPr>
              <w:pStyle w:val="16"/>
            </w:pPr>
            <w:r>
              <w:t>考察编制报告数量</w:t>
            </w:r>
          </w:p>
        </w:tc>
        <w:tc>
          <w:tcPr>
            <w:tcW w:w="2551" w:type="dxa"/>
            <w:vAlign w:val="center"/>
          </w:tcPr>
          <w:p>
            <w:pPr>
              <w:pStyle w:val="16"/>
            </w:pPr>
            <w:r>
              <w:t>1个</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用地与审计选址意见书</w:t>
            </w:r>
          </w:p>
        </w:tc>
        <w:tc>
          <w:tcPr>
            <w:tcW w:w="2835" w:type="dxa"/>
            <w:vAlign w:val="center"/>
          </w:tcPr>
          <w:p>
            <w:pPr>
              <w:pStyle w:val="16"/>
            </w:pPr>
            <w:r>
              <w:t>用地与审计选址意见书</w:t>
            </w:r>
          </w:p>
          <w:p>
            <w:pPr>
              <w:pStyle w:val="16"/>
            </w:pPr>
            <w:r>
              <w:t>数量</w:t>
            </w:r>
          </w:p>
        </w:tc>
        <w:tc>
          <w:tcPr>
            <w:tcW w:w="2551" w:type="dxa"/>
            <w:vAlign w:val="center"/>
          </w:tcPr>
          <w:p>
            <w:pPr>
              <w:pStyle w:val="16"/>
            </w:pPr>
            <w:r>
              <w:t>1个</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规划衔接方案</w:t>
            </w:r>
          </w:p>
        </w:tc>
        <w:tc>
          <w:tcPr>
            <w:tcW w:w="2835" w:type="dxa"/>
            <w:vAlign w:val="center"/>
          </w:tcPr>
          <w:p>
            <w:pPr>
              <w:pStyle w:val="16"/>
            </w:pPr>
            <w:r>
              <w:t>考察编制规划衔接方案数量</w:t>
            </w:r>
          </w:p>
        </w:tc>
        <w:tc>
          <w:tcPr>
            <w:tcW w:w="2551" w:type="dxa"/>
            <w:vAlign w:val="center"/>
          </w:tcPr>
          <w:p>
            <w:pPr>
              <w:pStyle w:val="16"/>
            </w:pPr>
            <w:r>
              <w:t>2个</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报告评审通过率</w:t>
            </w:r>
          </w:p>
        </w:tc>
        <w:tc>
          <w:tcPr>
            <w:tcW w:w="2835" w:type="dxa"/>
            <w:vAlign w:val="center"/>
          </w:tcPr>
          <w:p>
            <w:pPr>
              <w:pStyle w:val="16"/>
            </w:pPr>
            <w:r>
              <w:t>评审通过报告数量/报告总数量*100%</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反映项目完成时间</w:t>
            </w:r>
          </w:p>
        </w:tc>
        <w:tc>
          <w:tcPr>
            <w:tcW w:w="2551" w:type="dxa"/>
            <w:vAlign w:val="center"/>
          </w:tcPr>
          <w:p>
            <w:pPr>
              <w:pStyle w:val="16"/>
            </w:pPr>
            <w:r>
              <w:t>2022年3月底前</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用地预审计选址意见报告平均成本</w:t>
            </w:r>
          </w:p>
        </w:tc>
        <w:tc>
          <w:tcPr>
            <w:tcW w:w="2835" w:type="dxa"/>
            <w:vAlign w:val="center"/>
          </w:tcPr>
          <w:p>
            <w:pPr>
              <w:pStyle w:val="16"/>
            </w:pPr>
            <w:r>
              <w:t>用地预审计选址意见报告平均成本控制情况</w:t>
            </w:r>
          </w:p>
        </w:tc>
        <w:tc>
          <w:tcPr>
            <w:tcW w:w="2551" w:type="dxa"/>
            <w:vAlign w:val="center"/>
          </w:tcPr>
          <w:p>
            <w:pPr>
              <w:pStyle w:val="16"/>
            </w:pPr>
            <w:r>
              <w:t>≤22万元</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规划衔接方案平均成本</w:t>
            </w:r>
          </w:p>
        </w:tc>
        <w:tc>
          <w:tcPr>
            <w:tcW w:w="2835" w:type="dxa"/>
            <w:vAlign w:val="center"/>
          </w:tcPr>
          <w:p>
            <w:pPr>
              <w:pStyle w:val="16"/>
            </w:pPr>
            <w:r>
              <w:t>考察规划衔接方案平均成本控制情况</w:t>
            </w:r>
          </w:p>
        </w:tc>
        <w:tc>
          <w:tcPr>
            <w:tcW w:w="2551" w:type="dxa"/>
            <w:vAlign w:val="center"/>
          </w:tcPr>
          <w:p>
            <w:pPr>
              <w:pStyle w:val="16"/>
            </w:pPr>
            <w:r>
              <w:t>≤26万元</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社会稳评报告平均成本</w:t>
            </w:r>
          </w:p>
        </w:tc>
        <w:tc>
          <w:tcPr>
            <w:tcW w:w="2835" w:type="dxa"/>
            <w:vAlign w:val="center"/>
          </w:tcPr>
          <w:p>
            <w:pPr>
              <w:pStyle w:val="16"/>
            </w:pPr>
            <w:r>
              <w:t>考察项目建议书平均成本控制情况</w:t>
            </w:r>
          </w:p>
        </w:tc>
        <w:tc>
          <w:tcPr>
            <w:tcW w:w="2551" w:type="dxa"/>
            <w:vAlign w:val="center"/>
          </w:tcPr>
          <w:p>
            <w:pPr>
              <w:pStyle w:val="16"/>
            </w:pPr>
            <w:r>
              <w:t>≤16万元</w:t>
            </w:r>
          </w:p>
        </w:tc>
        <w:tc>
          <w:tcPr>
            <w:tcW w:w="2268" w:type="dxa"/>
            <w:vAlign w:val="center"/>
          </w:tcPr>
          <w:p>
            <w:pPr>
              <w:pStyle w:val="16"/>
            </w:pPr>
            <w:r>
              <w:t>计划标准</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报告使用年限</w:t>
            </w:r>
          </w:p>
        </w:tc>
        <w:tc>
          <w:tcPr>
            <w:tcW w:w="2835" w:type="dxa"/>
            <w:vAlign w:val="center"/>
          </w:tcPr>
          <w:p>
            <w:pPr>
              <w:pStyle w:val="16"/>
            </w:pPr>
            <w:r>
              <w:t>考察报告使用情况</w:t>
            </w:r>
          </w:p>
        </w:tc>
        <w:tc>
          <w:tcPr>
            <w:tcW w:w="2551" w:type="dxa"/>
            <w:vAlign w:val="center"/>
          </w:tcPr>
          <w:p>
            <w:pPr>
              <w:pStyle w:val="16"/>
            </w:pPr>
            <w:r>
              <w:t>≥2年</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报告使用率</w:t>
            </w:r>
          </w:p>
        </w:tc>
        <w:tc>
          <w:tcPr>
            <w:tcW w:w="2835" w:type="dxa"/>
            <w:vAlign w:val="center"/>
          </w:tcPr>
          <w:p>
            <w:pPr>
              <w:pStyle w:val="16"/>
            </w:pPr>
            <w:r>
              <w:t>考察报告使用情况</w:t>
            </w:r>
          </w:p>
        </w:tc>
        <w:tc>
          <w:tcPr>
            <w:tcW w:w="2551" w:type="dxa"/>
            <w:vAlign w:val="center"/>
          </w:tcPr>
          <w:p>
            <w:pPr>
              <w:pStyle w:val="16"/>
            </w:pPr>
            <w:r>
              <w:t>≥95%</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、市容市貌提升工作绩效目标表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1.坚持绿水青山就是金山银山理念，坚持以人民为中心，创造幸福美好生活，提升日常绿色休闲品质，完善生态文明领域统筹协调机制，构建生态文明体系，推动经济社会发展全面绿色转型，建设美丽中国。</w:t>
            </w:r>
          </w:p>
          <w:p>
            <w:pPr>
              <w:pStyle w:val="16"/>
            </w:pPr>
            <w:r>
              <w:t>2.通过项目的开展，拟在</w:t>
            </w:r>
            <w:r>
              <w:rPr>
                <w:rFonts w:hint="eastAsia"/>
                <w:lang w:eastAsia="zh-CN"/>
              </w:rPr>
              <w:t>“5·1”</w:t>
            </w:r>
            <w:r>
              <w:t>、“6.18”、“10.1”等重要节日，通过采取摆花20余品种，30余万盆的措施，进一步提升区域景观效果，切实把临空经济区扮靓扮美，主动营造喜庆节日气氛，增添庄重祥和之气，提升区域人民幸福指数，展现临空经济区生态优先、绿色发展理念，创造优美环境氛围。</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47"/>
        <w:gridCol w:w="2085"/>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847" w:type="dxa"/>
            <w:vAlign w:val="center"/>
          </w:tcPr>
          <w:p>
            <w:pPr>
              <w:pStyle w:val="14"/>
            </w:pPr>
            <w:r>
              <w:t>绩效指标描述</w:t>
            </w:r>
          </w:p>
        </w:tc>
        <w:tc>
          <w:tcPr>
            <w:tcW w:w="2085"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摆放花卉种类</w:t>
            </w:r>
          </w:p>
        </w:tc>
        <w:tc>
          <w:tcPr>
            <w:tcW w:w="2847" w:type="dxa"/>
            <w:vAlign w:val="center"/>
          </w:tcPr>
          <w:p>
            <w:pPr>
              <w:pStyle w:val="16"/>
            </w:pPr>
            <w:r>
              <w:t>节日美化项目摆放花卉种类</w:t>
            </w:r>
          </w:p>
        </w:tc>
        <w:tc>
          <w:tcPr>
            <w:tcW w:w="2085" w:type="dxa"/>
            <w:vAlign w:val="center"/>
          </w:tcPr>
          <w:p>
            <w:pPr>
              <w:pStyle w:val="16"/>
            </w:pPr>
            <w:r>
              <w:t>≥20种</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花卉总盆数</w:t>
            </w:r>
          </w:p>
        </w:tc>
        <w:tc>
          <w:tcPr>
            <w:tcW w:w="2847" w:type="dxa"/>
            <w:vAlign w:val="center"/>
          </w:tcPr>
          <w:p>
            <w:pPr>
              <w:pStyle w:val="16"/>
            </w:pPr>
            <w:r>
              <w:t>摆放花卉总盆数</w:t>
            </w:r>
          </w:p>
        </w:tc>
        <w:tc>
          <w:tcPr>
            <w:tcW w:w="2085" w:type="dxa"/>
            <w:vAlign w:val="center"/>
          </w:tcPr>
          <w:p>
            <w:pPr>
              <w:pStyle w:val="16"/>
            </w:pPr>
            <w:r>
              <w:t>≥30万盆</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摆放花卉次数</w:t>
            </w:r>
          </w:p>
        </w:tc>
        <w:tc>
          <w:tcPr>
            <w:tcW w:w="2847" w:type="dxa"/>
            <w:vAlign w:val="center"/>
          </w:tcPr>
          <w:p>
            <w:pPr>
              <w:pStyle w:val="16"/>
            </w:pPr>
            <w:r>
              <w:t>节日美化项目摆放花卉总次数</w:t>
            </w:r>
          </w:p>
        </w:tc>
        <w:tc>
          <w:tcPr>
            <w:tcW w:w="2085" w:type="dxa"/>
            <w:vAlign w:val="center"/>
          </w:tcPr>
          <w:p>
            <w:pPr>
              <w:pStyle w:val="16"/>
            </w:pPr>
            <w:r>
              <w:t>≥1次</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美化工程完成及时率</w:t>
            </w:r>
          </w:p>
        </w:tc>
        <w:tc>
          <w:tcPr>
            <w:tcW w:w="2847" w:type="dxa"/>
            <w:vAlign w:val="center"/>
          </w:tcPr>
          <w:p>
            <w:pPr>
              <w:pStyle w:val="16"/>
            </w:pPr>
            <w:r>
              <w:t>花卉摆放按期完成率（按预期计划完成摆放数量/项目摆放总数×100%）</w:t>
            </w:r>
          </w:p>
        </w:tc>
        <w:tc>
          <w:tcPr>
            <w:tcW w:w="2085" w:type="dxa"/>
            <w:vAlign w:val="center"/>
          </w:tcPr>
          <w:p>
            <w:pPr>
              <w:pStyle w:val="16"/>
            </w:pPr>
            <w:r>
              <w:t>≥90%</w:t>
            </w:r>
          </w:p>
        </w:tc>
        <w:tc>
          <w:tcPr>
            <w:tcW w:w="2466" w:type="dxa"/>
            <w:vAlign w:val="center"/>
          </w:tcPr>
          <w:p>
            <w:pPr>
              <w:pStyle w:val="16"/>
            </w:pPr>
            <w:r>
              <w:t>根据项目实际情况确定</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景观效果</w:t>
            </w:r>
          </w:p>
        </w:tc>
        <w:tc>
          <w:tcPr>
            <w:tcW w:w="2847" w:type="dxa"/>
            <w:vAlign w:val="center"/>
          </w:tcPr>
          <w:p>
            <w:pPr>
              <w:pStyle w:val="16"/>
            </w:pPr>
            <w:r>
              <w:t>提升临空区景观效果</w:t>
            </w:r>
          </w:p>
        </w:tc>
        <w:tc>
          <w:tcPr>
            <w:tcW w:w="2085" w:type="dxa"/>
            <w:vAlign w:val="center"/>
          </w:tcPr>
          <w:p>
            <w:pPr>
              <w:pStyle w:val="16"/>
            </w:pPr>
            <w:r>
              <w:t>提升</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临空之门</w:t>
            </w:r>
          </w:p>
        </w:tc>
        <w:tc>
          <w:tcPr>
            <w:tcW w:w="2847" w:type="dxa"/>
            <w:vAlign w:val="center"/>
          </w:tcPr>
          <w:p>
            <w:pPr>
              <w:pStyle w:val="16"/>
            </w:pPr>
            <w:r>
              <w:t>临空之门摆花成本</w:t>
            </w:r>
          </w:p>
        </w:tc>
        <w:tc>
          <w:tcPr>
            <w:tcW w:w="2085" w:type="dxa"/>
            <w:vAlign w:val="center"/>
          </w:tcPr>
          <w:p>
            <w:pPr>
              <w:pStyle w:val="16"/>
            </w:pPr>
            <w:r>
              <w:t>≤16.5万元</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航企服务岛北区</w:t>
            </w:r>
          </w:p>
        </w:tc>
        <w:tc>
          <w:tcPr>
            <w:tcW w:w="2847" w:type="dxa"/>
            <w:vAlign w:val="center"/>
          </w:tcPr>
          <w:p>
            <w:pPr>
              <w:pStyle w:val="16"/>
            </w:pPr>
            <w:r>
              <w:t>航企服务岛北区摆花成本</w:t>
            </w:r>
          </w:p>
        </w:tc>
        <w:tc>
          <w:tcPr>
            <w:tcW w:w="2085" w:type="dxa"/>
            <w:vAlign w:val="center"/>
          </w:tcPr>
          <w:p>
            <w:pPr>
              <w:pStyle w:val="16"/>
            </w:pPr>
            <w:r>
              <w:t>≤30万元</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综合保税区</w:t>
            </w:r>
          </w:p>
        </w:tc>
        <w:tc>
          <w:tcPr>
            <w:tcW w:w="2847" w:type="dxa"/>
            <w:vAlign w:val="center"/>
          </w:tcPr>
          <w:p>
            <w:pPr>
              <w:pStyle w:val="16"/>
            </w:pPr>
            <w:r>
              <w:t>综合保税区摆花成本</w:t>
            </w:r>
          </w:p>
        </w:tc>
        <w:tc>
          <w:tcPr>
            <w:tcW w:w="2085" w:type="dxa"/>
            <w:vAlign w:val="center"/>
          </w:tcPr>
          <w:p>
            <w:pPr>
              <w:pStyle w:val="16"/>
            </w:pPr>
            <w:r>
              <w:t>≤12万元</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科技创新区北区</w:t>
            </w:r>
          </w:p>
        </w:tc>
        <w:tc>
          <w:tcPr>
            <w:tcW w:w="2847" w:type="dxa"/>
            <w:vAlign w:val="center"/>
          </w:tcPr>
          <w:p>
            <w:pPr>
              <w:pStyle w:val="16"/>
            </w:pPr>
            <w:r>
              <w:t>科技创新区北区摆花成本</w:t>
            </w:r>
          </w:p>
        </w:tc>
        <w:tc>
          <w:tcPr>
            <w:tcW w:w="2085" w:type="dxa"/>
            <w:vAlign w:val="center"/>
          </w:tcPr>
          <w:p>
            <w:pPr>
              <w:pStyle w:val="16"/>
            </w:pPr>
            <w:r>
              <w:t>≤35.5万元</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绿化雕塑</w:t>
            </w:r>
          </w:p>
        </w:tc>
        <w:tc>
          <w:tcPr>
            <w:tcW w:w="2847" w:type="dxa"/>
            <w:vAlign w:val="center"/>
          </w:tcPr>
          <w:p>
            <w:pPr>
              <w:pStyle w:val="16"/>
            </w:pPr>
            <w:r>
              <w:t>2座绿化雕塑成本</w:t>
            </w:r>
          </w:p>
        </w:tc>
        <w:tc>
          <w:tcPr>
            <w:tcW w:w="2085" w:type="dxa"/>
            <w:vAlign w:val="center"/>
          </w:tcPr>
          <w:p>
            <w:pPr>
              <w:pStyle w:val="16"/>
            </w:pPr>
            <w:r>
              <w:t>≤76万元</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项目总成本</w:t>
            </w:r>
          </w:p>
        </w:tc>
        <w:tc>
          <w:tcPr>
            <w:tcW w:w="2847" w:type="dxa"/>
            <w:vAlign w:val="center"/>
          </w:tcPr>
          <w:p>
            <w:pPr>
              <w:pStyle w:val="16"/>
            </w:pPr>
            <w:r>
              <w:t>节日美化总成本</w:t>
            </w:r>
          </w:p>
        </w:tc>
        <w:tc>
          <w:tcPr>
            <w:tcW w:w="2085" w:type="dxa"/>
            <w:vAlign w:val="center"/>
          </w:tcPr>
          <w:p>
            <w:pPr>
              <w:pStyle w:val="16"/>
            </w:pPr>
            <w:r>
              <w:t>≤170万元</w:t>
            </w:r>
          </w:p>
        </w:tc>
        <w:tc>
          <w:tcPr>
            <w:tcW w:w="2466" w:type="dxa"/>
            <w:vAlign w:val="center"/>
          </w:tcPr>
          <w:p>
            <w:pPr>
              <w:pStyle w:val="16"/>
            </w:pPr>
            <w:r>
              <w:t>依据合同及实际需求</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服务人民</w:t>
            </w:r>
          </w:p>
        </w:tc>
        <w:tc>
          <w:tcPr>
            <w:tcW w:w="2847" w:type="dxa"/>
            <w:vAlign w:val="center"/>
          </w:tcPr>
          <w:p>
            <w:pPr>
              <w:pStyle w:val="16"/>
            </w:pPr>
            <w:r>
              <w:t>提升区域人民幸福指数</w:t>
            </w:r>
          </w:p>
        </w:tc>
        <w:tc>
          <w:tcPr>
            <w:tcW w:w="2085" w:type="dxa"/>
            <w:vAlign w:val="center"/>
          </w:tcPr>
          <w:p>
            <w:pPr>
              <w:pStyle w:val="16"/>
            </w:pPr>
            <w:r>
              <w:t>提升</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改善区域环境质量</w:t>
            </w:r>
          </w:p>
        </w:tc>
        <w:tc>
          <w:tcPr>
            <w:tcW w:w="2847" w:type="dxa"/>
            <w:vAlign w:val="center"/>
          </w:tcPr>
          <w:p>
            <w:pPr>
              <w:pStyle w:val="16"/>
            </w:pPr>
            <w:r>
              <w:t>改善生态环境质量，绿化美化临空经济区</w:t>
            </w:r>
          </w:p>
        </w:tc>
        <w:tc>
          <w:tcPr>
            <w:tcW w:w="2085" w:type="dxa"/>
            <w:vAlign w:val="center"/>
          </w:tcPr>
          <w:p>
            <w:pPr>
              <w:pStyle w:val="16"/>
            </w:pPr>
            <w:r>
              <w:t>改善</w:t>
            </w:r>
          </w:p>
        </w:tc>
        <w:tc>
          <w:tcPr>
            <w:tcW w:w="2466" w:type="dxa"/>
            <w:vAlign w:val="center"/>
          </w:tcPr>
          <w:p>
            <w:pPr>
              <w:pStyle w:val="16"/>
            </w:pPr>
            <w:r>
              <w:t>依据合同及实际需求</w:t>
            </w:r>
          </w:p>
        </w:tc>
      </w:tr>
      <w:tr>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提升氛围</w:t>
            </w:r>
          </w:p>
        </w:tc>
        <w:tc>
          <w:tcPr>
            <w:tcW w:w="2847" w:type="dxa"/>
            <w:vAlign w:val="center"/>
          </w:tcPr>
          <w:p>
            <w:pPr>
              <w:pStyle w:val="16"/>
            </w:pPr>
            <w:r>
              <w:t>主动提升节日气氛</w:t>
            </w:r>
          </w:p>
        </w:tc>
        <w:tc>
          <w:tcPr>
            <w:tcW w:w="2085" w:type="dxa"/>
            <w:vAlign w:val="center"/>
          </w:tcPr>
          <w:p>
            <w:pPr>
              <w:pStyle w:val="16"/>
            </w:pPr>
            <w:r>
              <w:t>提升</w:t>
            </w:r>
          </w:p>
        </w:tc>
        <w:tc>
          <w:tcPr>
            <w:tcW w:w="2466" w:type="dxa"/>
            <w:vAlign w:val="center"/>
          </w:tcPr>
          <w:p>
            <w:pPr>
              <w:pStyle w:val="16"/>
            </w:pPr>
            <w:r>
              <w:t>依据合同及实际需求</w:t>
            </w:r>
          </w:p>
        </w:tc>
      </w:tr>
      <w:tr>
        <w:trPr>
          <w:trHeight w:val="397" w:hRule="atLeast"/>
          <w:jc w:val="center"/>
        </w:trPr>
        <w:tc>
          <w:tcPr>
            <w:tcW w:w="2466" w:type="dxa"/>
            <w:vMerge w:val="restart"/>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主管部门</w:t>
            </w:r>
          </w:p>
        </w:tc>
        <w:tc>
          <w:tcPr>
            <w:tcW w:w="2847" w:type="dxa"/>
            <w:vAlign w:val="center"/>
          </w:tcPr>
          <w:p>
            <w:pPr>
              <w:pStyle w:val="16"/>
            </w:pPr>
            <w:r>
              <w:t>服务人群满意度</w:t>
            </w:r>
          </w:p>
        </w:tc>
        <w:tc>
          <w:tcPr>
            <w:tcW w:w="2085" w:type="dxa"/>
            <w:vAlign w:val="center"/>
          </w:tcPr>
          <w:p>
            <w:pPr>
              <w:pStyle w:val="16"/>
            </w:pPr>
            <w:r>
              <w:t>≥90%</w:t>
            </w:r>
          </w:p>
        </w:tc>
        <w:tc>
          <w:tcPr>
            <w:tcW w:w="2466" w:type="dxa"/>
            <w:vAlign w:val="center"/>
          </w:tcPr>
          <w:p>
            <w:pPr>
              <w:pStyle w:val="16"/>
            </w:pPr>
            <w:r>
              <w:t>调查问卷</w:t>
            </w:r>
          </w:p>
        </w:tc>
      </w:tr>
      <w:tr>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施工单位</w:t>
            </w:r>
          </w:p>
        </w:tc>
        <w:tc>
          <w:tcPr>
            <w:tcW w:w="2847" w:type="dxa"/>
            <w:vAlign w:val="center"/>
          </w:tcPr>
          <w:p>
            <w:pPr>
              <w:pStyle w:val="16"/>
            </w:pPr>
            <w:r>
              <w:t>服务人群满意度</w:t>
            </w:r>
          </w:p>
        </w:tc>
        <w:tc>
          <w:tcPr>
            <w:tcW w:w="2085" w:type="dxa"/>
            <w:vAlign w:val="center"/>
          </w:tcPr>
          <w:p>
            <w:pPr>
              <w:pStyle w:val="16"/>
            </w:pPr>
            <w:r>
              <w:t>≥90%</w:t>
            </w:r>
          </w:p>
        </w:tc>
        <w:tc>
          <w:tcPr>
            <w:tcW w:w="2466" w:type="dxa"/>
            <w:vAlign w:val="center"/>
          </w:tcPr>
          <w:p>
            <w:pPr>
              <w:pStyle w:val="16"/>
            </w:pPr>
            <w:r>
              <w:t>调查问卷</w:t>
            </w:r>
          </w:p>
        </w:tc>
      </w:tr>
      <w:tr>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区域居民</w:t>
            </w:r>
          </w:p>
        </w:tc>
        <w:tc>
          <w:tcPr>
            <w:tcW w:w="2847" w:type="dxa"/>
            <w:vAlign w:val="center"/>
          </w:tcPr>
          <w:p>
            <w:pPr>
              <w:pStyle w:val="16"/>
            </w:pPr>
            <w:r>
              <w:t>服务人群满意度</w:t>
            </w:r>
          </w:p>
        </w:tc>
        <w:tc>
          <w:tcPr>
            <w:tcW w:w="2085"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、市政配套设施电费绩效目标表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1.通过项目实施，保证廊坊临空经济区路灯设施、交通设施及雨污水泵站的正常供电与运行。</w:t>
            </w:r>
          </w:p>
          <w:p>
            <w:pPr>
              <w:pStyle w:val="16"/>
            </w:pPr>
            <w:r>
              <w:t>2.通过项目实施，保证廊坊临空经济区内路灯、交通设施及雨污水泵站正常供电与运行；确保路灯的亮灯率高于98%，保障人们夜间出行安全；保证交通设施正常运行，打造良好出行体验。保证雨污水泵站正常运行，确保临空区安全度汛。</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照明负荷</w:t>
            </w:r>
          </w:p>
        </w:tc>
        <w:tc>
          <w:tcPr>
            <w:tcW w:w="2835" w:type="dxa"/>
            <w:vAlign w:val="center"/>
          </w:tcPr>
          <w:p>
            <w:pPr>
              <w:pStyle w:val="16"/>
            </w:pPr>
            <w:r>
              <w:t>路灯照明全年总负荷</w:t>
            </w:r>
          </w:p>
        </w:tc>
        <w:tc>
          <w:tcPr>
            <w:tcW w:w="2551" w:type="dxa"/>
            <w:vAlign w:val="center"/>
          </w:tcPr>
          <w:p>
            <w:pPr>
              <w:pStyle w:val="16"/>
            </w:pPr>
            <w:r>
              <w:t>≤1177.85千瓦</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交通设施负荷</w:t>
            </w:r>
          </w:p>
        </w:tc>
        <w:tc>
          <w:tcPr>
            <w:tcW w:w="2835" w:type="dxa"/>
            <w:vAlign w:val="center"/>
          </w:tcPr>
          <w:p>
            <w:pPr>
              <w:pStyle w:val="16"/>
            </w:pPr>
            <w:r>
              <w:t>市政道路交通设施全年总负荷</w:t>
            </w:r>
          </w:p>
        </w:tc>
        <w:tc>
          <w:tcPr>
            <w:tcW w:w="2551" w:type="dxa"/>
            <w:vAlign w:val="center"/>
          </w:tcPr>
          <w:p>
            <w:pPr>
              <w:pStyle w:val="16"/>
            </w:pPr>
            <w:r>
              <w:t>≤387千瓦</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雨水泵站负荷</w:t>
            </w:r>
          </w:p>
        </w:tc>
        <w:tc>
          <w:tcPr>
            <w:tcW w:w="2835" w:type="dxa"/>
            <w:vAlign w:val="center"/>
          </w:tcPr>
          <w:p>
            <w:pPr>
              <w:pStyle w:val="16"/>
            </w:pPr>
            <w:r>
              <w:t>雨污水泵站全年总负荷</w:t>
            </w:r>
          </w:p>
        </w:tc>
        <w:tc>
          <w:tcPr>
            <w:tcW w:w="2551" w:type="dxa"/>
            <w:vAlign w:val="center"/>
          </w:tcPr>
          <w:p>
            <w:pPr>
              <w:pStyle w:val="16"/>
            </w:pPr>
            <w:r>
              <w:t>≤1788千瓦</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路灯亮灯率、交通设施完好率、泵站设施完好率</w:t>
            </w:r>
          </w:p>
        </w:tc>
        <w:tc>
          <w:tcPr>
            <w:tcW w:w="2835" w:type="dxa"/>
            <w:vAlign w:val="center"/>
          </w:tcPr>
          <w:p>
            <w:pPr>
              <w:pStyle w:val="16"/>
            </w:pPr>
            <w:r>
              <w:t>保证路灯、交通设施、雨污水泵站正常运行</w:t>
            </w:r>
          </w:p>
        </w:tc>
        <w:tc>
          <w:tcPr>
            <w:tcW w:w="2551" w:type="dxa"/>
            <w:vAlign w:val="center"/>
          </w:tcPr>
          <w:p>
            <w:pPr>
              <w:pStyle w:val="16"/>
            </w:pPr>
            <w:r>
              <w:t>有效保证市政设施运行</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电费缴纳及时率</w:t>
            </w:r>
          </w:p>
        </w:tc>
        <w:tc>
          <w:tcPr>
            <w:tcW w:w="2835" w:type="dxa"/>
            <w:vAlign w:val="center"/>
          </w:tcPr>
          <w:p>
            <w:pPr>
              <w:pStyle w:val="16"/>
            </w:pPr>
            <w:r>
              <w:t>电费缴纳及时率</w:t>
            </w:r>
          </w:p>
        </w:tc>
        <w:tc>
          <w:tcPr>
            <w:tcW w:w="2551" w:type="dxa"/>
            <w:vAlign w:val="center"/>
          </w:tcPr>
          <w:p>
            <w:pPr>
              <w:pStyle w:val="16"/>
            </w:pPr>
            <w:r>
              <w:t>100%</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电费单价</w:t>
            </w:r>
          </w:p>
        </w:tc>
        <w:tc>
          <w:tcPr>
            <w:tcW w:w="2835" w:type="dxa"/>
            <w:vAlign w:val="center"/>
          </w:tcPr>
          <w:p>
            <w:pPr>
              <w:pStyle w:val="16"/>
            </w:pPr>
            <w:r>
              <w:t>电费单价</w:t>
            </w:r>
          </w:p>
        </w:tc>
        <w:tc>
          <w:tcPr>
            <w:tcW w:w="2551" w:type="dxa"/>
            <w:vAlign w:val="center"/>
          </w:tcPr>
          <w:p>
            <w:pPr>
              <w:pStyle w:val="16"/>
            </w:pPr>
            <w:r>
              <w:t>≤0.58元/度</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每年电费总价</w:t>
            </w:r>
          </w:p>
        </w:tc>
        <w:tc>
          <w:tcPr>
            <w:tcW w:w="2835" w:type="dxa"/>
            <w:vAlign w:val="center"/>
          </w:tcPr>
          <w:p>
            <w:pPr>
              <w:pStyle w:val="16"/>
            </w:pPr>
            <w:r>
              <w:t>每年电费总价</w:t>
            </w:r>
          </w:p>
        </w:tc>
        <w:tc>
          <w:tcPr>
            <w:tcW w:w="2551" w:type="dxa"/>
            <w:vAlign w:val="center"/>
          </w:tcPr>
          <w:p>
            <w:pPr>
              <w:pStyle w:val="16"/>
            </w:pPr>
            <w:r>
              <w:t>≤347.99万元</w:t>
            </w:r>
          </w:p>
        </w:tc>
        <w:tc>
          <w:tcPr>
            <w:tcW w:w="2268" w:type="dxa"/>
            <w:vAlign w:val="center"/>
          </w:tcPr>
          <w:p>
            <w:pPr>
              <w:pStyle w:val="16"/>
            </w:pPr>
            <w:r>
              <w:t>根据项目实际情况确定</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城市形象</w:t>
            </w:r>
          </w:p>
        </w:tc>
        <w:tc>
          <w:tcPr>
            <w:tcW w:w="2835" w:type="dxa"/>
            <w:vAlign w:val="center"/>
          </w:tcPr>
          <w:p>
            <w:pPr>
              <w:pStyle w:val="16"/>
            </w:pPr>
            <w:r>
              <w:t>提升城市夜景品质，方便市民出行</w:t>
            </w:r>
          </w:p>
        </w:tc>
        <w:tc>
          <w:tcPr>
            <w:tcW w:w="2551" w:type="dxa"/>
            <w:vAlign w:val="center"/>
          </w:tcPr>
          <w:p>
            <w:pPr>
              <w:pStyle w:val="16"/>
            </w:pPr>
            <w:r>
              <w:t>有效保障</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安全性</w:t>
            </w:r>
          </w:p>
        </w:tc>
        <w:tc>
          <w:tcPr>
            <w:tcW w:w="2835" w:type="dxa"/>
            <w:vAlign w:val="center"/>
          </w:tcPr>
          <w:p>
            <w:pPr>
              <w:pStyle w:val="16"/>
            </w:pPr>
            <w:r>
              <w:t>保证供电安全，行人安全，保障设施安全运行</w:t>
            </w:r>
          </w:p>
        </w:tc>
        <w:tc>
          <w:tcPr>
            <w:tcW w:w="2551" w:type="dxa"/>
            <w:vAlign w:val="center"/>
          </w:tcPr>
          <w:p>
            <w:pPr>
              <w:pStyle w:val="16"/>
            </w:pPr>
            <w:r>
              <w:t>有效保障</w:t>
            </w:r>
          </w:p>
        </w:tc>
        <w:tc>
          <w:tcPr>
            <w:tcW w:w="2268" w:type="dxa"/>
            <w:vAlign w:val="center"/>
          </w:tcPr>
          <w:p>
            <w:pPr>
              <w:pStyle w:val="16"/>
            </w:pPr>
            <w:r>
              <w:t>根据项目实际情况确定</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主管单位满意度</w:t>
            </w:r>
          </w:p>
        </w:tc>
        <w:tc>
          <w:tcPr>
            <w:tcW w:w="2835" w:type="dxa"/>
            <w:vAlign w:val="center"/>
          </w:tcPr>
          <w:p>
            <w:pPr>
              <w:pStyle w:val="16"/>
            </w:pPr>
            <w:r>
              <w:t>主管单位满意度</w:t>
            </w:r>
          </w:p>
        </w:tc>
        <w:tc>
          <w:tcPr>
            <w:tcW w:w="2551" w:type="dxa"/>
            <w:vAlign w:val="center"/>
          </w:tcPr>
          <w:p>
            <w:pPr>
              <w:pStyle w:val="16"/>
            </w:pPr>
            <w:r>
              <w:t>≥90%</w:t>
            </w:r>
          </w:p>
        </w:tc>
        <w:tc>
          <w:tcPr>
            <w:tcW w:w="2268" w:type="dxa"/>
            <w:vAlign w:val="center"/>
          </w:tcPr>
          <w:p>
            <w:pPr>
              <w:pStyle w:val="16"/>
            </w:pPr>
            <w:r>
              <w:t>根据项目实际情况确定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、土地出让地价委托评估（广阳片区）绩效目标表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1.尽快完成管委会安排部署的既定招商项目、市政项目的土地储备供应工作，保证临空经济区建设进度，保障重点产业项目加速落地</w:t>
            </w:r>
          </w:p>
          <w:p>
            <w:pPr>
              <w:pStyle w:val="16"/>
            </w:pPr>
            <w:r>
              <w:t>2.保障重点产业项目加速落地，土地收储和供应工作顺利开展，保证临空经济区建设进度</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宗地</w:t>
            </w:r>
          </w:p>
        </w:tc>
        <w:tc>
          <w:tcPr>
            <w:tcW w:w="2835" w:type="dxa"/>
            <w:vAlign w:val="center"/>
          </w:tcPr>
          <w:p>
            <w:pPr>
              <w:pStyle w:val="16"/>
            </w:pPr>
            <w:r>
              <w:t>宗地数量</w:t>
            </w:r>
          </w:p>
        </w:tc>
        <w:tc>
          <w:tcPr>
            <w:tcW w:w="2551" w:type="dxa"/>
            <w:vAlign w:val="center"/>
          </w:tcPr>
          <w:p>
            <w:pPr>
              <w:pStyle w:val="16"/>
            </w:pPr>
            <w:r>
              <w:t>8亩</w:t>
            </w:r>
          </w:p>
        </w:tc>
        <w:tc>
          <w:tcPr>
            <w:tcW w:w="2268" w:type="dxa"/>
            <w:vAlign w:val="center"/>
          </w:tcPr>
          <w:p>
            <w:pPr>
              <w:pStyle w:val="16"/>
            </w:pPr>
            <w:r>
              <w:t>供地计划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是否符合审批要求</w:t>
            </w:r>
          </w:p>
        </w:tc>
        <w:tc>
          <w:tcPr>
            <w:tcW w:w="2551" w:type="dxa"/>
            <w:vAlign w:val="center"/>
          </w:tcPr>
          <w:p>
            <w:pPr>
              <w:pStyle w:val="16"/>
            </w:pPr>
            <w:r>
              <w:t>≥95%</w:t>
            </w:r>
          </w:p>
        </w:tc>
        <w:tc>
          <w:tcPr>
            <w:tcW w:w="2268" w:type="dxa"/>
            <w:vAlign w:val="center"/>
          </w:tcPr>
          <w:p>
            <w:pPr>
              <w:pStyle w:val="16"/>
            </w:pPr>
            <w:r>
              <w:t>审批意见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合同规定工期</w:t>
            </w:r>
          </w:p>
        </w:tc>
        <w:tc>
          <w:tcPr>
            <w:tcW w:w="2551" w:type="dxa"/>
            <w:vAlign w:val="center"/>
          </w:tcPr>
          <w:p>
            <w:pPr>
              <w:pStyle w:val="16"/>
            </w:pPr>
            <w:r>
              <w:t>天</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w:t>
            </w:r>
          </w:p>
        </w:tc>
        <w:tc>
          <w:tcPr>
            <w:tcW w:w="2835" w:type="dxa"/>
            <w:vAlign w:val="center"/>
          </w:tcPr>
          <w:p>
            <w:pPr>
              <w:pStyle w:val="16"/>
            </w:pPr>
            <w:r>
              <w:t>符合行业收费标准</w:t>
            </w:r>
          </w:p>
        </w:tc>
        <w:tc>
          <w:tcPr>
            <w:tcW w:w="2551" w:type="dxa"/>
            <w:vAlign w:val="center"/>
          </w:tcPr>
          <w:p>
            <w:pPr>
              <w:pStyle w:val="16"/>
            </w:pPr>
            <w:r>
              <w:t>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政府财政收入</w:t>
            </w:r>
          </w:p>
        </w:tc>
        <w:tc>
          <w:tcPr>
            <w:tcW w:w="2835" w:type="dxa"/>
            <w:vAlign w:val="center"/>
          </w:tcPr>
          <w:p>
            <w:pPr>
              <w:pStyle w:val="16"/>
            </w:pPr>
            <w:r>
              <w:t>预计实现政府收益</w:t>
            </w:r>
          </w:p>
        </w:tc>
        <w:tc>
          <w:tcPr>
            <w:tcW w:w="2551" w:type="dxa"/>
            <w:vAlign w:val="center"/>
          </w:tcPr>
          <w:p>
            <w:pPr>
              <w:pStyle w:val="16"/>
            </w:pPr>
            <w:r>
              <w:t>预计实现政府收益</w:t>
            </w:r>
          </w:p>
        </w:tc>
        <w:tc>
          <w:tcPr>
            <w:tcW w:w="2268" w:type="dxa"/>
            <w:vAlign w:val="center"/>
          </w:tcPr>
          <w:p>
            <w:pPr>
              <w:pStyle w:val="16"/>
            </w:pPr>
            <w:r>
              <w:t>预计出让金</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甲方评定</w:t>
            </w:r>
          </w:p>
        </w:tc>
        <w:tc>
          <w:tcPr>
            <w:tcW w:w="2835" w:type="dxa"/>
            <w:vAlign w:val="center"/>
          </w:tcPr>
          <w:p>
            <w:pPr>
              <w:pStyle w:val="16"/>
            </w:pPr>
            <w:r>
              <w:t>甲方评定</w:t>
            </w:r>
          </w:p>
        </w:tc>
        <w:tc>
          <w:tcPr>
            <w:tcW w:w="2551" w:type="dxa"/>
            <w:vAlign w:val="center"/>
          </w:tcPr>
          <w:p>
            <w:pPr>
              <w:pStyle w:val="16"/>
            </w:pPr>
            <w:r>
              <w:t>≥95甲方评定</w:t>
            </w:r>
          </w:p>
        </w:tc>
        <w:tc>
          <w:tcPr>
            <w:tcW w:w="2268" w:type="dxa"/>
            <w:vAlign w:val="center"/>
          </w:tcPr>
          <w:p>
            <w:pPr>
              <w:pStyle w:val="16"/>
            </w:pPr>
            <w:r>
              <w:t>甲方评定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、土地出让地价委托评估（永清固安片区）绩效目标表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1.尽快完成管委会安排部署的既定招商项目、市政项目的土地储备供应工作，保证临空经济区建设进度，保障重点产业项目加速落地</w:t>
            </w:r>
          </w:p>
          <w:p>
            <w:pPr>
              <w:pStyle w:val="16"/>
            </w:pPr>
            <w:r>
              <w:t>2.保障重点产业项目加速落地，土地收储和供应工作顺利开展，保证临空经济区建设进度</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宗地</w:t>
            </w:r>
          </w:p>
        </w:tc>
        <w:tc>
          <w:tcPr>
            <w:tcW w:w="2835" w:type="dxa"/>
            <w:vAlign w:val="center"/>
          </w:tcPr>
          <w:p>
            <w:pPr>
              <w:pStyle w:val="16"/>
            </w:pPr>
            <w:r>
              <w:t>宗地数量</w:t>
            </w:r>
          </w:p>
        </w:tc>
        <w:tc>
          <w:tcPr>
            <w:tcW w:w="2551" w:type="dxa"/>
            <w:vAlign w:val="center"/>
          </w:tcPr>
          <w:p>
            <w:pPr>
              <w:pStyle w:val="16"/>
            </w:pPr>
            <w:r>
              <w:t>≤20宗</w:t>
            </w:r>
          </w:p>
        </w:tc>
        <w:tc>
          <w:tcPr>
            <w:tcW w:w="2268" w:type="dxa"/>
            <w:vAlign w:val="center"/>
          </w:tcPr>
          <w:p>
            <w:pPr>
              <w:pStyle w:val="16"/>
            </w:pPr>
            <w:r>
              <w:t>供地计划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是否符合审批要求</w:t>
            </w:r>
          </w:p>
        </w:tc>
        <w:tc>
          <w:tcPr>
            <w:tcW w:w="2551" w:type="dxa"/>
            <w:vAlign w:val="center"/>
          </w:tcPr>
          <w:p>
            <w:pPr>
              <w:pStyle w:val="16"/>
            </w:pPr>
            <w:r>
              <w:t>≥95%</w:t>
            </w:r>
          </w:p>
        </w:tc>
        <w:tc>
          <w:tcPr>
            <w:tcW w:w="2268" w:type="dxa"/>
            <w:vAlign w:val="center"/>
          </w:tcPr>
          <w:p>
            <w:pPr>
              <w:pStyle w:val="16"/>
            </w:pPr>
            <w:r>
              <w:t>审批意见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合同规定工期</w:t>
            </w:r>
          </w:p>
        </w:tc>
        <w:tc>
          <w:tcPr>
            <w:tcW w:w="2551" w:type="dxa"/>
            <w:vAlign w:val="center"/>
          </w:tcPr>
          <w:p>
            <w:pPr>
              <w:pStyle w:val="16"/>
            </w:pPr>
            <w:r>
              <w:t>天</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w:t>
            </w:r>
          </w:p>
        </w:tc>
        <w:tc>
          <w:tcPr>
            <w:tcW w:w="2835" w:type="dxa"/>
            <w:vAlign w:val="center"/>
          </w:tcPr>
          <w:p>
            <w:pPr>
              <w:pStyle w:val="16"/>
            </w:pPr>
            <w:r>
              <w:t>符合行业收费标准</w:t>
            </w:r>
          </w:p>
        </w:tc>
        <w:tc>
          <w:tcPr>
            <w:tcW w:w="2551" w:type="dxa"/>
            <w:vAlign w:val="center"/>
          </w:tcPr>
          <w:p>
            <w:pPr>
              <w:pStyle w:val="16"/>
            </w:pPr>
            <w:r>
              <w:t>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政府财政收入</w:t>
            </w:r>
          </w:p>
        </w:tc>
        <w:tc>
          <w:tcPr>
            <w:tcW w:w="2835" w:type="dxa"/>
            <w:vAlign w:val="center"/>
          </w:tcPr>
          <w:p>
            <w:pPr>
              <w:pStyle w:val="16"/>
            </w:pPr>
            <w:r>
              <w:t>预计实现政府收益</w:t>
            </w:r>
          </w:p>
        </w:tc>
        <w:tc>
          <w:tcPr>
            <w:tcW w:w="2551" w:type="dxa"/>
            <w:vAlign w:val="center"/>
          </w:tcPr>
          <w:p>
            <w:pPr>
              <w:pStyle w:val="16"/>
            </w:pPr>
            <w:r>
              <w:t>预计实现政府收益</w:t>
            </w:r>
          </w:p>
        </w:tc>
        <w:tc>
          <w:tcPr>
            <w:tcW w:w="2268" w:type="dxa"/>
            <w:vAlign w:val="center"/>
          </w:tcPr>
          <w:p>
            <w:pPr>
              <w:pStyle w:val="16"/>
            </w:pPr>
            <w:r>
              <w:t>预计出让金</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甲方评定</w:t>
            </w:r>
          </w:p>
        </w:tc>
        <w:tc>
          <w:tcPr>
            <w:tcW w:w="2835" w:type="dxa"/>
            <w:vAlign w:val="center"/>
          </w:tcPr>
          <w:p>
            <w:pPr>
              <w:pStyle w:val="16"/>
            </w:pPr>
            <w:r>
              <w:t>甲方评定</w:t>
            </w:r>
          </w:p>
        </w:tc>
        <w:tc>
          <w:tcPr>
            <w:tcW w:w="2551" w:type="dxa"/>
            <w:vAlign w:val="center"/>
          </w:tcPr>
          <w:p>
            <w:pPr>
              <w:pStyle w:val="16"/>
            </w:pPr>
            <w:r>
              <w:t>≥95甲方评定</w:t>
            </w:r>
          </w:p>
        </w:tc>
        <w:tc>
          <w:tcPr>
            <w:tcW w:w="2268" w:type="dxa"/>
            <w:vAlign w:val="center"/>
          </w:tcPr>
          <w:p>
            <w:pPr>
              <w:pStyle w:val="16"/>
            </w:pPr>
            <w:r>
              <w:t>甲方评定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、土地储备供应委托勘测定界及套核相关数据项目绩效目标表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1.尽快完成管委会安排部署的既定招商项目、市政项目的土地储备供应工作，保证临空经济区建设进度，保障重点产业项目加速落地</w:t>
            </w:r>
          </w:p>
          <w:p>
            <w:pPr>
              <w:pStyle w:val="16"/>
            </w:pPr>
            <w:r>
              <w:t>2.保障重点产业项目加速落地，土地收储和供应工作顺利开展，保证临空经济区建设进度</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面积</w:t>
            </w:r>
          </w:p>
        </w:tc>
        <w:tc>
          <w:tcPr>
            <w:tcW w:w="2835" w:type="dxa"/>
            <w:vAlign w:val="center"/>
          </w:tcPr>
          <w:p>
            <w:pPr>
              <w:pStyle w:val="16"/>
            </w:pPr>
            <w:r>
              <w:t>审批面积</w:t>
            </w:r>
          </w:p>
        </w:tc>
        <w:tc>
          <w:tcPr>
            <w:tcW w:w="2551" w:type="dxa"/>
            <w:vAlign w:val="center"/>
          </w:tcPr>
          <w:p>
            <w:pPr>
              <w:pStyle w:val="16"/>
            </w:pPr>
            <w:r>
              <w:t>≤1319.35亩</w:t>
            </w:r>
          </w:p>
        </w:tc>
        <w:tc>
          <w:tcPr>
            <w:tcW w:w="2268" w:type="dxa"/>
            <w:vAlign w:val="center"/>
          </w:tcPr>
          <w:p>
            <w:pPr>
              <w:pStyle w:val="16"/>
            </w:pPr>
            <w:r>
              <w:t>供地计划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是否符合审批要求</w:t>
            </w:r>
          </w:p>
        </w:tc>
        <w:tc>
          <w:tcPr>
            <w:tcW w:w="2551" w:type="dxa"/>
            <w:vAlign w:val="center"/>
          </w:tcPr>
          <w:p>
            <w:pPr>
              <w:pStyle w:val="16"/>
            </w:pPr>
            <w:r>
              <w:t>≥95%</w:t>
            </w:r>
          </w:p>
        </w:tc>
        <w:tc>
          <w:tcPr>
            <w:tcW w:w="2268" w:type="dxa"/>
            <w:vAlign w:val="center"/>
          </w:tcPr>
          <w:p>
            <w:pPr>
              <w:pStyle w:val="16"/>
            </w:pPr>
            <w:r>
              <w:t>审批意见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w:t>
            </w:r>
          </w:p>
        </w:tc>
        <w:tc>
          <w:tcPr>
            <w:tcW w:w="2835" w:type="dxa"/>
            <w:vAlign w:val="center"/>
          </w:tcPr>
          <w:p>
            <w:pPr>
              <w:pStyle w:val="16"/>
            </w:pPr>
            <w:r>
              <w:t>合同规定工期</w:t>
            </w:r>
          </w:p>
        </w:tc>
        <w:tc>
          <w:tcPr>
            <w:tcW w:w="2551" w:type="dxa"/>
            <w:vAlign w:val="center"/>
          </w:tcPr>
          <w:p>
            <w:pPr>
              <w:pStyle w:val="16"/>
            </w:pPr>
            <w:r>
              <w:t>天</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w:t>
            </w:r>
          </w:p>
        </w:tc>
        <w:tc>
          <w:tcPr>
            <w:tcW w:w="2835" w:type="dxa"/>
            <w:vAlign w:val="center"/>
          </w:tcPr>
          <w:p>
            <w:pPr>
              <w:pStyle w:val="16"/>
            </w:pPr>
            <w:r>
              <w:t>符合行业收费标准</w:t>
            </w:r>
          </w:p>
        </w:tc>
        <w:tc>
          <w:tcPr>
            <w:tcW w:w="2551" w:type="dxa"/>
            <w:vAlign w:val="center"/>
          </w:tcPr>
          <w:p>
            <w:pPr>
              <w:pStyle w:val="16"/>
            </w:pPr>
            <w:r>
              <w:t>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政府财政收入</w:t>
            </w:r>
          </w:p>
        </w:tc>
        <w:tc>
          <w:tcPr>
            <w:tcW w:w="2835" w:type="dxa"/>
            <w:vAlign w:val="center"/>
          </w:tcPr>
          <w:p>
            <w:pPr>
              <w:pStyle w:val="16"/>
            </w:pPr>
            <w:r>
              <w:t>预计实现政府收益</w:t>
            </w:r>
          </w:p>
        </w:tc>
        <w:tc>
          <w:tcPr>
            <w:tcW w:w="2551" w:type="dxa"/>
            <w:vAlign w:val="center"/>
          </w:tcPr>
          <w:p>
            <w:pPr>
              <w:pStyle w:val="16"/>
            </w:pPr>
            <w:r>
              <w:t>预计实现政府收益</w:t>
            </w:r>
          </w:p>
        </w:tc>
        <w:tc>
          <w:tcPr>
            <w:tcW w:w="2268" w:type="dxa"/>
            <w:vAlign w:val="center"/>
          </w:tcPr>
          <w:p>
            <w:pPr>
              <w:pStyle w:val="16"/>
            </w:pPr>
            <w:r>
              <w:t>预计出让金</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甲方评定</w:t>
            </w:r>
          </w:p>
        </w:tc>
        <w:tc>
          <w:tcPr>
            <w:tcW w:w="2835" w:type="dxa"/>
            <w:vAlign w:val="center"/>
          </w:tcPr>
          <w:p>
            <w:pPr>
              <w:pStyle w:val="16"/>
            </w:pPr>
            <w:r>
              <w:t>甲方评定</w:t>
            </w:r>
          </w:p>
        </w:tc>
        <w:tc>
          <w:tcPr>
            <w:tcW w:w="2551" w:type="dxa"/>
            <w:vAlign w:val="center"/>
          </w:tcPr>
          <w:p>
            <w:pPr>
              <w:pStyle w:val="16"/>
            </w:pPr>
            <w:r>
              <w:t>≥95甲方评定</w:t>
            </w:r>
          </w:p>
        </w:tc>
        <w:tc>
          <w:tcPr>
            <w:tcW w:w="2268" w:type="dxa"/>
            <w:vAlign w:val="center"/>
          </w:tcPr>
          <w:p>
            <w:pPr>
              <w:pStyle w:val="16"/>
            </w:pPr>
            <w:r>
              <w:t>甲方评定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、土地储备供应咨询及服务费绩效目标表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1.尽快完成管委会安排部署的既定招商项目、市政项目的土地储备供应工作，保证临空经济区建设进度，保障重点产业项目加速落地</w:t>
            </w:r>
          </w:p>
          <w:p>
            <w:pPr>
              <w:pStyle w:val="16"/>
            </w:pPr>
            <w:r>
              <w:t>2.通过土地储备供应咨询及服务项目的开展，保障重点产业项目加速落地，土地供应工作顺利开展，保证临空经济区建设进度，2023年2月-4月开展项目准备工作，制定年度工作方案、项目招投标、签订合同或协议；2023年5月-12月项目实施、项目验收总结，总成本控制在360万元以内，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面积</w:t>
            </w:r>
          </w:p>
        </w:tc>
        <w:tc>
          <w:tcPr>
            <w:tcW w:w="2835" w:type="dxa"/>
            <w:vAlign w:val="center"/>
          </w:tcPr>
          <w:p>
            <w:pPr>
              <w:pStyle w:val="16"/>
            </w:pPr>
            <w:r>
              <w:t>土地供应勘测定界面积</w:t>
            </w:r>
          </w:p>
        </w:tc>
        <w:tc>
          <w:tcPr>
            <w:tcW w:w="2551" w:type="dxa"/>
            <w:vAlign w:val="center"/>
          </w:tcPr>
          <w:p>
            <w:pPr>
              <w:pStyle w:val="16"/>
            </w:pPr>
            <w:r>
              <w:t>≥2500亩</w:t>
            </w:r>
          </w:p>
        </w:tc>
        <w:tc>
          <w:tcPr>
            <w:tcW w:w="2268" w:type="dxa"/>
            <w:vAlign w:val="center"/>
          </w:tcPr>
          <w:p>
            <w:pPr>
              <w:pStyle w:val="16"/>
            </w:pPr>
            <w:r>
              <w:t>供地计划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宗地数</w:t>
            </w:r>
          </w:p>
        </w:tc>
        <w:tc>
          <w:tcPr>
            <w:tcW w:w="2835" w:type="dxa"/>
            <w:vAlign w:val="center"/>
          </w:tcPr>
          <w:p>
            <w:pPr>
              <w:pStyle w:val="16"/>
            </w:pPr>
            <w:r>
              <w:t>土地供应宗地数量</w:t>
            </w:r>
          </w:p>
        </w:tc>
        <w:tc>
          <w:tcPr>
            <w:tcW w:w="2551" w:type="dxa"/>
            <w:vAlign w:val="center"/>
          </w:tcPr>
          <w:p>
            <w:pPr>
              <w:pStyle w:val="16"/>
            </w:pPr>
            <w:r>
              <w:t>≥20宗</w:t>
            </w:r>
          </w:p>
        </w:tc>
        <w:tc>
          <w:tcPr>
            <w:tcW w:w="2268" w:type="dxa"/>
            <w:vAlign w:val="center"/>
          </w:tcPr>
          <w:p>
            <w:pPr>
              <w:pStyle w:val="16"/>
            </w:pPr>
            <w:r>
              <w:t>供地计划</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编制计划方案</w:t>
            </w:r>
          </w:p>
        </w:tc>
        <w:tc>
          <w:tcPr>
            <w:tcW w:w="2835" w:type="dxa"/>
            <w:vAlign w:val="center"/>
          </w:tcPr>
          <w:p>
            <w:pPr>
              <w:pStyle w:val="16"/>
            </w:pPr>
            <w:r>
              <w:t>编制计划方案个数</w:t>
            </w:r>
          </w:p>
        </w:tc>
        <w:tc>
          <w:tcPr>
            <w:tcW w:w="2551" w:type="dxa"/>
            <w:vAlign w:val="center"/>
          </w:tcPr>
          <w:p>
            <w:pPr>
              <w:pStyle w:val="16"/>
            </w:pPr>
            <w:r>
              <w:t>2个</w:t>
            </w:r>
          </w:p>
        </w:tc>
        <w:tc>
          <w:tcPr>
            <w:tcW w:w="2268" w:type="dxa"/>
            <w:vAlign w:val="center"/>
          </w:tcPr>
          <w:p>
            <w:pPr>
              <w:pStyle w:val="16"/>
            </w:pPr>
            <w:r>
              <w:t>编制年度储备计划和供应计划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计划方案通过率</w:t>
            </w:r>
          </w:p>
        </w:tc>
        <w:tc>
          <w:tcPr>
            <w:tcW w:w="2835" w:type="dxa"/>
            <w:vAlign w:val="center"/>
          </w:tcPr>
          <w:p>
            <w:pPr>
              <w:pStyle w:val="16"/>
            </w:pPr>
            <w:r>
              <w:t>反映主管部门考核计划方案适用性情况</w:t>
            </w:r>
          </w:p>
        </w:tc>
        <w:tc>
          <w:tcPr>
            <w:tcW w:w="2551" w:type="dxa"/>
            <w:vAlign w:val="center"/>
          </w:tcPr>
          <w:p>
            <w:pPr>
              <w:pStyle w:val="16"/>
            </w:pPr>
            <w:r>
              <w:t>100%</w:t>
            </w:r>
          </w:p>
        </w:tc>
        <w:tc>
          <w:tcPr>
            <w:tcW w:w="2268" w:type="dxa"/>
            <w:vAlign w:val="center"/>
          </w:tcPr>
          <w:p>
            <w:pPr>
              <w:pStyle w:val="16"/>
            </w:pPr>
            <w:r>
              <w:t>主管部门考核意见</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合同规定工期</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成本预算不高于360万</w:t>
            </w:r>
          </w:p>
        </w:tc>
        <w:tc>
          <w:tcPr>
            <w:tcW w:w="2551" w:type="dxa"/>
            <w:vAlign w:val="center"/>
          </w:tcPr>
          <w:p>
            <w:pPr>
              <w:pStyle w:val="16"/>
            </w:pPr>
            <w:r>
              <w:t>≤360万元</w:t>
            </w:r>
          </w:p>
        </w:tc>
        <w:tc>
          <w:tcPr>
            <w:tcW w:w="2268" w:type="dxa"/>
            <w:vAlign w:val="center"/>
          </w:tcPr>
          <w:p>
            <w:pPr>
              <w:pStyle w:val="16"/>
            </w:pPr>
            <w:r>
              <w:t>询价</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土地出让价格委托评估项目</w:t>
            </w:r>
          </w:p>
        </w:tc>
        <w:tc>
          <w:tcPr>
            <w:tcW w:w="2835" w:type="dxa"/>
            <w:vAlign w:val="center"/>
          </w:tcPr>
          <w:p>
            <w:pPr>
              <w:pStyle w:val="16"/>
            </w:pPr>
            <w:r>
              <w:t>成本预算不高于256万</w:t>
            </w:r>
          </w:p>
        </w:tc>
        <w:tc>
          <w:tcPr>
            <w:tcW w:w="2551" w:type="dxa"/>
            <w:vAlign w:val="center"/>
          </w:tcPr>
          <w:p>
            <w:pPr>
              <w:pStyle w:val="16"/>
            </w:pPr>
            <w:r>
              <w:t>≤256万元</w:t>
            </w:r>
          </w:p>
        </w:tc>
        <w:tc>
          <w:tcPr>
            <w:tcW w:w="2268" w:type="dxa"/>
            <w:vAlign w:val="center"/>
          </w:tcPr>
          <w:p>
            <w:pPr>
              <w:pStyle w:val="16"/>
            </w:pPr>
            <w:r>
              <w:t>询价</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土地委托勘测定界项目</w:t>
            </w:r>
          </w:p>
        </w:tc>
        <w:tc>
          <w:tcPr>
            <w:tcW w:w="2835" w:type="dxa"/>
            <w:vAlign w:val="center"/>
          </w:tcPr>
          <w:p>
            <w:pPr>
              <w:pStyle w:val="16"/>
            </w:pPr>
            <w:r>
              <w:t>成本预算不高于80万</w:t>
            </w:r>
          </w:p>
        </w:tc>
        <w:tc>
          <w:tcPr>
            <w:tcW w:w="2551" w:type="dxa"/>
            <w:vAlign w:val="center"/>
          </w:tcPr>
          <w:p>
            <w:pPr>
              <w:pStyle w:val="16"/>
            </w:pPr>
            <w:r>
              <w:t>≤80万元</w:t>
            </w:r>
          </w:p>
        </w:tc>
        <w:tc>
          <w:tcPr>
            <w:tcW w:w="2268" w:type="dxa"/>
            <w:vAlign w:val="center"/>
          </w:tcPr>
          <w:p>
            <w:pPr>
              <w:pStyle w:val="16"/>
            </w:pPr>
            <w:r>
              <w:t>询价</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年度土地储备计划编制</w:t>
            </w:r>
          </w:p>
        </w:tc>
        <w:tc>
          <w:tcPr>
            <w:tcW w:w="2835" w:type="dxa"/>
            <w:vAlign w:val="center"/>
          </w:tcPr>
          <w:p>
            <w:pPr>
              <w:pStyle w:val="16"/>
            </w:pPr>
            <w:r>
              <w:t>成本预算不高于12万</w:t>
            </w:r>
          </w:p>
        </w:tc>
        <w:tc>
          <w:tcPr>
            <w:tcW w:w="2551" w:type="dxa"/>
            <w:vAlign w:val="center"/>
          </w:tcPr>
          <w:p>
            <w:pPr>
              <w:pStyle w:val="16"/>
            </w:pPr>
            <w:r>
              <w:t>≤12万元</w:t>
            </w:r>
          </w:p>
        </w:tc>
        <w:tc>
          <w:tcPr>
            <w:tcW w:w="2268" w:type="dxa"/>
            <w:vAlign w:val="center"/>
          </w:tcPr>
          <w:p>
            <w:pPr>
              <w:pStyle w:val="16"/>
            </w:pPr>
            <w:r>
              <w:t>询价</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年度土地供应计划编制</w:t>
            </w:r>
          </w:p>
        </w:tc>
        <w:tc>
          <w:tcPr>
            <w:tcW w:w="2835" w:type="dxa"/>
            <w:vAlign w:val="center"/>
          </w:tcPr>
          <w:p>
            <w:pPr>
              <w:pStyle w:val="16"/>
            </w:pPr>
            <w:r>
              <w:t>成本预算不高于12万</w:t>
            </w:r>
          </w:p>
        </w:tc>
        <w:tc>
          <w:tcPr>
            <w:tcW w:w="2551" w:type="dxa"/>
            <w:vAlign w:val="center"/>
          </w:tcPr>
          <w:p>
            <w:pPr>
              <w:pStyle w:val="16"/>
            </w:pPr>
            <w:r>
              <w:t>≤12万元</w:t>
            </w:r>
          </w:p>
        </w:tc>
        <w:tc>
          <w:tcPr>
            <w:tcW w:w="2268" w:type="dxa"/>
            <w:vAlign w:val="center"/>
          </w:tcPr>
          <w:p>
            <w:pPr>
              <w:pStyle w:val="16"/>
            </w:pPr>
            <w:r>
              <w:t>询价</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保障土地供应工作顺利开展</w:t>
            </w:r>
          </w:p>
        </w:tc>
        <w:tc>
          <w:tcPr>
            <w:tcW w:w="2835" w:type="dxa"/>
            <w:vAlign w:val="center"/>
          </w:tcPr>
          <w:p>
            <w:pPr>
              <w:pStyle w:val="16"/>
            </w:pPr>
            <w:r>
              <w:t>通过咨询服务保障土地供应顺利开展</w:t>
            </w:r>
          </w:p>
        </w:tc>
        <w:tc>
          <w:tcPr>
            <w:tcW w:w="2551" w:type="dxa"/>
            <w:vAlign w:val="center"/>
          </w:tcPr>
          <w:p>
            <w:pPr>
              <w:pStyle w:val="16"/>
            </w:pPr>
            <w:r>
              <w:t>有效保障</w:t>
            </w:r>
          </w:p>
        </w:tc>
        <w:tc>
          <w:tcPr>
            <w:tcW w:w="2268" w:type="dxa"/>
            <w:vAlign w:val="center"/>
          </w:tcPr>
          <w:p>
            <w:pPr>
              <w:pStyle w:val="16"/>
            </w:pPr>
            <w:r>
              <w:t>文件要求</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甲方满意度</w:t>
            </w:r>
          </w:p>
        </w:tc>
        <w:tc>
          <w:tcPr>
            <w:tcW w:w="2835" w:type="dxa"/>
            <w:vAlign w:val="center"/>
          </w:tcPr>
          <w:p>
            <w:pPr>
              <w:pStyle w:val="16"/>
            </w:pPr>
            <w:r>
              <w:t>科室满意人数/调查总人数*100%</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99</w:t>
      </w:r>
      <w:r>
        <w:rPr>
          <w:rFonts w:ascii="方正仿宋_GBK" w:hAnsi="方正仿宋_GBK" w:eastAsia="方正仿宋_GBK" w:cs="方正仿宋_GBK"/>
          <w:b/>
          <w:color w:val="000000"/>
          <w:sz w:val="28"/>
        </w:rPr>
        <w:t>、土地年度变更调查绩效目标表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持续更新廊坊临空经济区国土调查成果，维护国土资源“一张图”和综合监管平台有效运行，强化“以图管地”，为进一步推进简政放权、转变职能、加强事中事后监管提供重要保障。实现土地变更调查成果在建设用地批后监管、耕地目标责任考核、土地执法督察等相关工作中的“一查多用”，促进严格保护耕地和节约集约用地制度的落实。</w:t>
            </w:r>
          </w:p>
          <w:p>
            <w:pPr>
              <w:pStyle w:val="16"/>
            </w:pPr>
            <w:r>
              <w:t>2.通过项目的开展，完廊坊临空经济区土地年度变更调查总面积不少于100平方公里，图斑数量验收合格率达到100%，及时更新数据库，成本控制在预算范围内，保障用地秩序和社会公平，项目由自然资源和规划局临空分局负责实施。</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32"/>
        <w:gridCol w:w="1900"/>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032" w:type="dxa"/>
            <w:vAlign w:val="center"/>
          </w:tcPr>
          <w:p>
            <w:pPr>
              <w:pStyle w:val="14"/>
            </w:pPr>
            <w:r>
              <w:t>绩效指标描述</w:t>
            </w:r>
          </w:p>
        </w:tc>
        <w:tc>
          <w:tcPr>
            <w:tcW w:w="1900"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廊坊临空经济区土地年度变更调查总面积</w:t>
            </w:r>
          </w:p>
        </w:tc>
        <w:tc>
          <w:tcPr>
            <w:tcW w:w="3032" w:type="dxa"/>
            <w:vAlign w:val="center"/>
          </w:tcPr>
          <w:p>
            <w:pPr>
              <w:pStyle w:val="16"/>
            </w:pPr>
            <w:r>
              <w:t>汇总更新土地利用现状宗面积</w:t>
            </w:r>
          </w:p>
        </w:tc>
        <w:tc>
          <w:tcPr>
            <w:tcW w:w="1900" w:type="dxa"/>
            <w:vAlign w:val="center"/>
          </w:tcPr>
          <w:p>
            <w:pPr>
              <w:pStyle w:val="16"/>
            </w:pPr>
            <w:r>
              <w:t>≥100平方公里</w:t>
            </w:r>
          </w:p>
        </w:tc>
        <w:tc>
          <w:tcPr>
            <w:tcW w:w="2466" w:type="dxa"/>
            <w:vAlign w:val="center"/>
          </w:tcPr>
          <w:p>
            <w:pPr>
              <w:pStyle w:val="16"/>
            </w:pPr>
            <w:r>
              <w:t>年度国土变更调查实施方案</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调查图斑数量</w:t>
            </w:r>
          </w:p>
        </w:tc>
        <w:tc>
          <w:tcPr>
            <w:tcW w:w="3032" w:type="dxa"/>
            <w:vAlign w:val="center"/>
          </w:tcPr>
          <w:p>
            <w:pPr>
              <w:pStyle w:val="16"/>
            </w:pPr>
            <w:r>
              <w:t>外业实地核查图斑数量（国家下发）</w:t>
            </w:r>
          </w:p>
        </w:tc>
        <w:tc>
          <w:tcPr>
            <w:tcW w:w="1900" w:type="dxa"/>
            <w:vAlign w:val="center"/>
          </w:tcPr>
          <w:p>
            <w:pPr>
              <w:pStyle w:val="16"/>
            </w:pPr>
            <w:r>
              <w:t>≥4800块</w:t>
            </w:r>
          </w:p>
        </w:tc>
        <w:tc>
          <w:tcPr>
            <w:tcW w:w="2466" w:type="dxa"/>
            <w:vAlign w:val="center"/>
          </w:tcPr>
          <w:p>
            <w:pPr>
              <w:pStyle w:val="16"/>
            </w:pPr>
            <w:r>
              <w:t>参照2022年下发图斑数</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数据库更新</w:t>
            </w:r>
          </w:p>
        </w:tc>
        <w:tc>
          <w:tcPr>
            <w:tcW w:w="3032" w:type="dxa"/>
            <w:vAlign w:val="center"/>
          </w:tcPr>
          <w:p>
            <w:pPr>
              <w:pStyle w:val="16"/>
            </w:pPr>
            <w:r>
              <w:t>国土调查数据库更新完成</w:t>
            </w:r>
          </w:p>
        </w:tc>
        <w:tc>
          <w:tcPr>
            <w:tcW w:w="1900" w:type="dxa"/>
            <w:vAlign w:val="center"/>
          </w:tcPr>
          <w:p>
            <w:pPr>
              <w:pStyle w:val="16"/>
            </w:pPr>
            <w:r>
              <w:t>1个</w:t>
            </w:r>
          </w:p>
        </w:tc>
        <w:tc>
          <w:tcPr>
            <w:tcW w:w="2466" w:type="dxa"/>
            <w:vAlign w:val="center"/>
          </w:tcPr>
          <w:p>
            <w:pPr>
              <w:pStyle w:val="16"/>
            </w:pPr>
            <w:r>
              <w:t>年度国土变更调查实施方案</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图斑核实准确率</w:t>
            </w:r>
          </w:p>
        </w:tc>
        <w:tc>
          <w:tcPr>
            <w:tcW w:w="3032" w:type="dxa"/>
            <w:vAlign w:val="center"/>
          </w:tcPr>
          <w:p>
            <w:pPr>
              <w:pStyle w:val="16"/>
            </w:pPr>
            <w:r>
              <w:t>图斑核实准确数量/国家下发图斑数量*100%</w:t>
            </w:r>
          </w:p>
        </w:tc>
        <w:tc>
          <w:tcPr>
            <w:tcW w:w="1900" w:type="dxa"/>
            <w:vAlign w:val="center"/>
          </w:tcPr>
          <w:p>
            <w:pPr>
              <w:pStyle w:val="16"/>
            </w:pPr>
            <w:r>
              <w:t>100%</w:t>
            </w:r>
          </w:p>
        </w:tc>
        <w:tc>
          <w:tcPr>
            <w:tcW w:w="2466" w:type="dxa"/>
            <w:vAlign w:val="center"/>
          </w:tcPr>
          <w:p>
            <w:pPr>
              <w:pStyle w:val="16"/>
            </w:pPr>
            <w:r>
              <w:t>参照2022年下发图斑数</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数据库更新及时性</w:t>
            </w:r>
          </w:p>
        </w:tc>
        <w:tc>
          <w:tcPr>
            <w:tcW w:w="3032" w:type="dxa"/>
            <w:vAlign w:val="center"/>
          </w:tcPr>
          <w:p>
            <w:pPr>
              <w:pStyle w:val="16"/>
            </w:pPr>
            <w:r>
              <w:t>考察国土调查数据库更新是否及时</w:t>
            </w:r>
          </w:p>
        </w:tc>
        <w:tc>
          <w:tcPr>
            <w:tcW w:w="1900" w:type="dxa"/>
            <w:vAlign w:val="center"/>
          </w:tcPr>
          <w:p>
            <w:pPr>
              <w:pStyle w:val="16"/>
            </w:pPr>
            <w:r>
              <w:t>及时</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项目总投入成本</w:t>
            </w:r>
          </w:p>
        </w:tc>
        <w:tc>
          <w:tcPr>
            <w:tcW w:w="3032" w:type="dxa"/>
            <w:vAlign w:val="center"/>
          </w:tcPr>
          <w:p>
            <w:pPr>
              <w:pStyle w:val="16"/>
            </w:pPr>
            <w:r>
              <w:t>成本预算不高于54万</w:t>
            </w:r>
          </w:p>
        </w:tc>
        <w:tc>
          <w:tcPr>
            <w:tcW w:w="1900" w:type="dxa"/>
            <w:vAlign w:val="center"/>
          </w:tcPr>
          <w:p>
            <w:pPr>
              <w:pStyle w:val="16"/>
            </w:pPr>
            <w:r>
              <w:t>≤48万元</w:t>
            </w:r>
          </w:p>
        </w:tc>
        <w:tc>
          <w:tcPr>
            <w:tcW w:w="2466" w:type="dxa"/>
            <w:vAlign w:val="center"/>
          </w:tcPr>
          <w:p>
            <w:pPr>
              <w:pStyle w:val="16"/>
            </w:pPr>
            <w:r>
              <w:t>文件要求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地类调查</w:t>
            </w:r>
          </w:p>
        </w:tc>
        <w:tc>
          <w:tcPr>
            <w:tcW w:w="3032" w:type="dxa"/>
            <w:vAlign w:val="center"/>
          </w:tcPr>
          <w:p>
            <w:pPr>
              <w:pStyle w:val="16"/>
            </w:pPr>
            <w:r>
              <w:t>成本预算不高于24.75万</w:t>
            </w:r>
          </w:p>
        </w:tc>
        <w:tc>
          <w:tcPr>
            <w:tcW w:w="1900" w:type="dxa"/>
            <w:vAlign w:val="center"/>
          </w:tcPr>
          <w:p>
            <w:pPr>
              <w:pStyle w:val="16"/>
            </w:pPr>
            <w:r>
              <w:t>≤22万元</w:t>
            </w:r>
          </w:p>
        </w:tc>
        <w:tc>
          <w:tcPr>
            <w:tcW w:w="2466" w:type="dxa"/>
            <w:vAlign w:val="center"/>
          </w:tcPr>
          <w:p>
            <w:pPr>
              <w:pStyle w:val="16"/>
            </w:pPr>
            <w:r>
              <w:t>文件要求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数据库建设</w:t>
            </w:r>
          </w:p>
        </w:tc>
        <w:tc>
          <w:tcPr>
            <w:tcW w:w="3032" w:type="dxa"/>
            <w:vAlign w:val="center"/>
          </w:tcPr>
          <w:p>
            <w:pPr>
              <w:pStyle w:val="16"/>
            </w:pPr>
            <w:r>
              <w:t>成本预算不高于9.9万</w:t>
            </w:r>
          </w:p>
        </w:tc>
        <w:tc>
          <w:tcPr>
            <w:tcW w:w="1900" w:type="dxa"/>
            <w:vAlign w:val="center"/>
          </w:tcPr>
          <w:p>
            <w:pPr>
              <w:pStyle w:val="16"/>
            </w:pPr>
            <w:r>
              <w:t>≤8.8万元</w:t>
            </w:r>
          </w:p>
        </w:tc>
        <w:tc>
          <w:tcPr>
            <w:tcW w:w="2466" w:type="dxa"/>
            <w:vAlign w:val="center"/>
          </w:tcPr>
          <w:p>
            <w:pPr>
              <w:pStyle w:val="16"/>
            </w:pPr>
            <w:r>
              <w:t>文件要求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数据汇交</w:t>
            </w:r>
          </w:p>
        </w:tc>
        <w:tc>
          <w:tcPr>
            <w:tcW w:w="3032" w:type="dxa"/>
            <w:vAlign w:val="center"/>
          </w:tcPr>
          <w:p>
            <w:pPr>
              <w:pStyle w:val="16"/>
            </w:pPr>
            <w:r>
              <w:t>成本预算不高于9万</w:t>
            </w:r>
          </w:p>
        </w:tc>
        <w:tc>
          <w:tcPr>
            <w:tcW w:w="1900" w:type="dxa"/>
            <w:vAlign w:val="center"/>
          </w:tcPr>
          <w:p>
            <w:pPr>
              <w:pStyle w:val="16"/>
            </w:pPr>
            <w:r>
              <w:t>≤8万元</w:t>
            </w:r>
          </w:p>
        </w:tc>
        <w:tc>
          <w:tcPr>
            <w:tcW w:w="2466" w:type="dxa"/>
            <w:vAlign w:val="center"/>
          </w:tcPr>
          <w:p>
            <w:pPr>
              <w:pStyle w:val="16"/>
            </w:pPr>
            <w:r>
              <w:t>文件要求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数据分析</w:t>
            </w:r>
          </w:p>
        </w:tc>
        <w:tc>
          <w:tcPr>
            <w:tcW w:w="3032" w:type="dxa"/>
            <w:vAlign w:val="center"/>
          </w:tcPr>
          <w:p>
            <w:pPr>
              <w:pStyle w:val="16"/>
            </w:pPr>
            <w:r>
              <w:t>成本预算不高于5.4万</w:t>
            </w:r>
          </w:p>
        </w:tc>
        <w:tc>
          <w:tcPr>
            <w:tcW w:w="1900" w:type="dxa"/>
            <w:vAlign w:val="center"/>
          </w:tcPr>
          <w:p>
            <w:pPr>
              <w:pStyle w:val="16"/>
            </w:pPr>
            <w:r>
              <w:t>≤4.8万元</w:t>
            </w:r>
          </w:p>
        </w:tc>
        <w:tc>
          <w:tcPr>
            <w:tcW w:w="2466" w:type="dxa"/>
            <w:vAlign w:val="center"/>
          </w:tcPr>
          <w:p>
            <w:pPr>
              <w:pStyle w:val="16"/>
            </w:pPr>
            <w:r>
              <w:t>文件要求</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图件编制</w:t>
            </w:r>
          </w:p>
        </w:tc>
        <w:tc>
          <w:tcPr>
            <w:tcW w:w="3032" w:type="dxa"/>
            <w:vAlign w:val="center"/>
          </w:tcPr>
          <w:p>
            <w:pPr>
              <w:pStyle w:val="16"/>
            </w:pPr>
            <w:r>
              <w:t>成本预算不高于4.05万</w:t>
            </w:r>
          </w:p>
        </w:tc>
        <w:tc>
          <w:tcPr>
            <w:tcW w:w="1900" w:type="dxa"/>
            <w:vAlign w:val="center"/>
          </w:tcPr>
          <w:p>
            <w:pPr>
              <w:pStyle w:val="16"/>
            </w:pPr>
            <w:r>
              <w:t>≤3.6万元</w:t>
            </w:r>
          </w:p>
        </w:tc>
        <w:tc>
          <w:tcPr>
            <w:tcW w:w="2466" w:type="dxa"/>
            <w:vAlign w:val="center"/>
          </w:tcPr>
          <w:p>
            <w:pPr>
              <w:pStyle w:val="16"/>
            </w:pPr>
            <w:r>
              <w:t>文件要求</w:t>
            </w:r>
          </w:p>
        </w:tc>
      </w:tr>
      <w:tr>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保障用地秩序</w:t>
            </w:r>
          </w:p>
        </w:tc>
        <w:tc>
          <w:tcPr>
            <w:tcW w:w="3032" w:type="dxa"/>
            <w:vAlign w:val="center"/>
          </w:tcPr>
          <w:p>
            <w:pPr>
              <w:pStyle w:val="16"/>
            </w:pPr>
            <w:r>
              <w:t>通过变更调查保障用地秩序和社会公平</w:t>
            </w:r>
          </w:p>
        </w:tc>
        <w:tc>
          <w:tcPr>
            <w:tcW w:w="1900" w:type="dxa"/>
            <w:vAlign w:val="center"/>
          </w:tcPr>
          <w:p>
            <w:pPr>
              <w:pStyle w:val="16"/>
            </w:pPr>
            <w:r>
              <w:t>有效保障</w:t>
            </w:r>
          </w:p>
        </w:tc>
        <w:tc>
          <w:tcPr>
            <w:tcW w:w="2466" w:type="dxa"/>
            <w:vAlign w:val="center"/>
          </w:tcPr>
          <w:p>
            <w:pPr>
              <w:pStyle w:val="16"/>
            </w:pPr>
            <w:r>
              <w:t>文件要求</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科室满意度</w:t>
            </w:r>
          </w:p>
        </w:tc>
        <w:tc>
          <w:tcPr>
            <w:tcW w:w="3032" w:type="dxa"/>
            <w:vAlign w:val="center"/>
          </w:tcPr>
          <w:p>
            <w:pPr>
              <w:pStyle w:val="16"/>
            </w:pPr>
            <w:r>
              <w:t>科室满意人数/调查总人数*100%</w:t>
            </w:r>
          </w:p>
        </w:tc>
        <w:tc>
          <w:tcPr>
            <w:tcW w:w="1900"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、土地转用征收成本绩效目标表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1.按照新增建设用地计划指标完成土地转征组卷报批及补偿工作</w:t>
            </w:r>
          </w:p>
          <w:p>
            <w:pPr>
              <w:pStyle w:val="16"/>
            </w:pPr>
            <w:r>
              <w:t>2.通过项目完成实现土地转用征收6000亩，项目总成本不高于188000.4万元，按照新增建设用地计划指标开展土地转征组卷报批工作，完成征地补偿。项目由临空自然资源和规划局负责实施。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土地转用征收面积数量</w:t>
            </w:r>
          </w:p>
        </w:tc>
        <w:tc>
          <w:tcPr>
            <w:tcW w:w="2835" w:type="dxa"/>
            <w:vAlign w:val="center"/>
          </w:tcPr>
          <w:p>
            <w:pPr>
              <w:pStyle w:val="16"/>
            </w:pPr>
            <w:r>
              <w:t>土地转用征收面积数量</w:t>
            </w:r>
          </w:p>
        </w:tc>
        <w:tc>
          <w:tcPr>
            <w:tcW w:w="2551" w:type="dxa"/>
            <w:vAlign w:val="center"/>
          </w:tcPr>
          <w:p>
            <w:pPr>
              <w:pStyle w:val="16"/>
            </w:pPr>
            <w:r>
              <w:t>≥6000亩</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土地转用征收完成率</w:t>
            </w:r>
          </w:p>
        </w:tc>
        <w:tc>
          <w:tcPr>
            <w:tcW w:w="2835" w:type="dxa"/>
            <w:vAlign w:val="center"/>
          </w:tcPr>
          <w:p>
            <w:pPr>
              <w:pStyle w:val="16"/>
            </w:pPr>
            <w:r>
              <w:t>土地转用征收实际完成面积/计划土地转用征收完成面积*100%</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土地转用征收完成及时性</w:t>
            </w:r>
          </w:p>
        </w:tc>
        <w:tc>
          <w:tcPr>
            <w:tcW w:w="2835" w:type="dxa"/>
            <w:vAlign w:val="center"/>
          </w:tcPr>
          <w:p>
            <w:pPr>
              <w:pStyle w:val="16"/>
            </w:pPr>
            <w:r>
              <w:t>考察土地转用征收完成及时情况</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考察项目总投入成本控制情况</w:t>
            </w:r>
          </w:p>
        </w:tc>
        <w:tc>
          <w:tcPr>
            <w:tcW w:w="2551" w:type="dxa"/>
            <w:vAlign w:val="center"/>
          </w:tcPr>
          <w:p>
            <w:pPr>
              <w:pStyle w:val="16"/>
            </w:pPr>
            <w:r>
              <w:t>≤188000.4万元</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保障临空经济区用地需求</w:t>
            </w:r>
          </w:p>
        </w:tc>
        <w:tc>
          <w:tcPr>
            <w:tcW w:w="2835" w:type="dxa"/>
            <w:vAlign w:val="center"/>
          </w:tcPr>
          <w:p>
            <w:pPr>
              <w:pStyle w:val="16"/>
            </w:pPr>
            <w:r>
              <w:t>完成6000亩项目用地转用征收组卷</w:t>
            </w:r>
          </w:p>
        </w:tc>
        <w:tc>
          <w:tcPr>
            <w:tcW w:w="2551" w:type="dxa"/>
            <w:vAlign w:val="center"/>
          </w:tcPr>
          <w:p>
            <w:pPr>
              <w:pStyle w:val="16"/>
            </w:pPr>
            <w:r>
              <w:t>保障</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河北临空集团有限公司部门满意度</w:t>
            </w:r>
          </w:p>
        </w:tc>
        <w:tc>
          <w:tcPr>
            <w:tcW w:w="2835" w:type="dxa"/>
            <w:vAlign w:val="center"/>
          </w:tcPr>
          <w:p>
            <w:pPr>
              <w:pStyle w:val="16"/>
            </w:pPr>
            <w:r>
              <w:t>完成6000亩项目用地转用征收组卷</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、土地转征征询服务费绩效目标表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1.为保障廊坊临空经济区2023年度用地需求提供技术支持。</w:t>
            </w:r>
          </w:p>
          <w:p>
            <w:pPr>
              <w:pStyle w:val="16"/>
            </w:pPr>
            <w:r>
              <w:t>2.通过本项目的开展，保障6000亩土地转用征收技术支持，项目总成本预算不高于2159.84万元，项目由临空自然资源和规划局负责实施。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6000亩土地转用征收组卷</w:t>
            </w:r>
          </w:p>
        </w:tc>
        <w:tc>
          <w:tcPr>
            <w:tcW w:w="2835" w:type="dxa"/>
            <w:vAlign w:val="center"/>
          </w:tcPr>
          <w:p>
            <w:pPr>
              <w:pStyle w:val="16"/>
            </w:pPr>
            <w:r>
              <w:t>保障6000亩土地转用征收组卷技术支持</w:t>
            </w:r>
          </w:p>
        </w:tc>
        <w:tc>
          <w:tcPr>
            <w:tcW w:w="2551" w:type="dxa"/>
            <w:vAlign w:val="center"/>
          </w:tcPr>
          <w:p>
            <w:pPr>
              <w:pStyle w:val="16"/>
            </w:pPr>
            <w:r>
              <w:t>≥6000个</w:t>
            </w:r>
          </w:p>
        </w:tc>
        <w:tc>
          <w:tcPr>
            <w:tcW w:w="2268" w:type="dxa"/>
            <w:vAlign w:val="center"/>
          </w:tcPr>
          <w:p>
            <w:pPr>
              <w:pStyle w:val="16"/>
            </w:pP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技术支持成果合规</w:t>
            </w:r>
          </w:p>
        </w:tc>
        <w:tc>
          <w:tcPr>
            <w:tcW w:w="2835" w:type="dxa"/>
            <w:vAlign w:val="center"/>
          </w:tcPr>
          <w:p>
            <w:pPr>
              <w:pStyle w:val="16"/>
            </w:pPr>
            <w:r>
              <w:t>成果满足组卷要求</w:t>
            </w:r>
          </w:p>
        </w:tc>
        <w:tc>
          <w:tcPr>
            <w:tcW w:w="2551" w:type="dxa"/>
            <w:vAlign w:val="center"/>
          </w:tcPr>
          <w:p>
            <w:pPr>
              <w:pStyle w:val="16"/>
            </w:pPr>
            <w:r>
              <w:t>100%</w:t>
            </w:r>
          </w:p>
        </w:tc>
        <w:tc>
          <w:tcPr>
            <w:tcW w:w="2268" w:type="dxa"/>
            <w:vAlign w:val="center"/>
          </w:tcPr>
          <w:p>
            <w:pPr>
              <w:pStyle w:val="16"/>
            </w:pPr>
            <w:r>
              <w:t>合同要求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合同规定工期</w:t>
            </w:r>
          </w:p>
        </w:tc>
        <w:tc>
          <w:tcPr>
            <w:tcW w:w="2551" w:type="dxa"/>
            <w:vAlign w:val="center"/>
          </w:tcPr>
          <w:p>
            <w:pPr>
              <w:pStyle w:val="16"/>
            </w:pPr>
            <w:r>
              <w:t>合同期限内提交成功</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成本预算不高于2159.84万</w:t>
            </w:r>
          </w:p>
        </w:tc>
        <w:tc>
          <w:tcPr>
            <w:tcW w:w="2551" w:type="dxa"/>
            <w:vAlign w:val="center"/>
          </w:tcPr>
          <w:p>
            <w:pPr>
              <w:pStyle w:val="16"/>
            </w:pPr>
            <w:r>
              <w:t>≤2159.84万元</w:t>
            </w:r>
          </w:p>
        </w:tc>
        <w:tc>
          <w:tcPr>
            <w:tcW w:w="2268" w:type="dxa"/>
            <w:vAlign w:val="center"/>
          </w:tcPr>
          <w:p>
            <w:pPr>
              <w:pStyle w:val="16"/>
            </w:pPr>
            <w:r>
              <w:t>行业标准</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保障临空经济区用地需求</w:t>
            </w:r>
          </w:p>
        </w:tc>
        <w:tc>
          <w:tcPr>
            <w:tcW w:w="2835" w:type="dxa"/>
            <w:vAlign w:val="center"/>
          </w:tcPr>
          <w:p>
            <w:pPr>
              <w:pStyle w:val="16"/>
            </w:pPr>
            <w:r>
              <w:t>保障6000亩项目用地转用征收组卷技术支持</w:t>
            </w:r>
          </w:p>
        </w:tc>
        <w:tc>
          <w:tcPr>
            <w:tcW w:w="2551" w:type="dxa"/>
            <w:vAlign w:val="center"/>
          </w:tcPr>
          <w:p>
            <w:pPr>
              <w:pStyle w:val="16"/>
            </w:pPr>
            <w:r>
              <w:t>满足征地组卷需求</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河北临空集团有限公司部门满意度</w:t>
            </w:r>
          </w:p>
        </w:tc>
        <w:tc>
          <w:tcPr>
            <w:tcW w:w="2835" w:type="dxa"/>
            <w:vAlign w:val="center"/>
          </w:tcPr>
          <w:p>
            <w:pPr>
              <w:pStyle w:val="16"/>
            </w:pPr>
            <w:r>
              <w:t>保障6000亩项目用地转用征收组卷技术支持</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、土壤污染调查服务绩效目标表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用两年（2022—2023年）左右的时间，将北京大兴国际机场临空经济区廊坊片区农用地转为“一住两公”用地进行土壤污染状况调查，贯彻落实《中华人民共和国土壤污染防治法》《土壤污染防治行动计划》《污染地块土壤环境管理办法（试行）》《河北省土壤污染防治条例》等相关要求，明确地块是否满足再开发利用条件，是否需要进行进一步的详细调查及风险评估工作，为地块后续环境管理提供依据的重要保障。</w:t>
            </w:r>
          </w:p>
          <w:p>
            <w:pPr>
              <w:pStyle w:val="16"/>
            </w:pPr>
            <w:r>
              <w:t>2.完成2023年土地转征用征收“两公一住”地块的土壤污染状况调查。</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地块数量</w:t>
            </w:r>
          </w:p>
        </w:tc>
        <w:tc>
          <w:tcPr>
            <w:tcW w:w="2835" w:type="dxa"/>
            <w:vAlign w:val="center"/>
          </w:tcPr>
          <w:p>
            <w:pPr>
              <w:pStyle w:val="16"/>
            </w:pPr>
            <w:r>
              <w:t>完成土壤污染状况调查的地块。</w:t>
            </w:r>
          </w:p>
        </w:tc>
        <w:tc>
          <w:tcPr>
            <w:tcW w:w="2551" w:type="dxa"/>
            <w:vAlign w:val="center"/>
          </w:tcPr>
          <w:p>
            <w:pPr>
              <w:pStyle w:val="16"/>
            </w:pPr>
            <w:r>
              <w:t>≥15地块</w:t>
            </w:r>
          </w:p>
        </w:tc>
        <w:tc>
          <w:tcPr>
            <w:tcW w:w="2268" w:type="dxa"/>
            <w:vAlign w:val="center"/>
          </w:tcPr>
          <w:p>
            <w:pPr>
              <w:pStyle w:val="16"/>
            </w:pPr>
            <w:r>
              <w:t>转用征收“两公一住”地块数量。</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(验收合格成果数/总成果数)*100%</w:t>
            </w:r>
          </w:p>
        </w:tc>
        <w:tc>
          <w:tcPr>
            <w:tcW w:w="2551" w:type="dxa"/>
            <w:vAlign w:val="center"/>
          </w:tcPr>
          <w:p>
            <w:pPr>
              <w:pStyle w:val="16"/>
            </w:pPr>
            <w:r>
              <w:t>≥95%</w:t>
            </w:r>
          </w:p>
        </w:tc>
        <w:tc>
          <w:tcPr>
            <w:tcW w:w="2268" w:type="dxa"/>
            <w:vAlign w:val="center"/>
          </w:tcPr>
          <w:p>
            <w:pPr>
              <w:pStyle w:val="16"/>
            </w:pPr>
            <w:r>
              <w:t>验收要求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(实际按合同要求成果数量/总成果数)*100%</w:t>
            </w:r>
          </w:p>
        </w:tc>
        <w:tc>
          <w:tcPr>
            <w:tcW w:w="2551" w:type="dxa"/>
            <w:vAlign w:val="center"/>
          </w:tcPr>
          <w:p>
            <w:pPr>
              <w:pStyle w:val="16"/>
            </w:pPr>
            <w:r>
              <w:t>≥90%</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考察项目总投入成本控制情况</w:t>
            </w:r>
          </w:p>
        </w:tc>
        <w:tc>
          <w:tcPr>
            <w:tcW w:w="2551" w:type="dxa"/>
            <w:vAlign w:val="center"/>
          </w:tcPr>
          <w:p>
            <w:pPr>
              <w:pStyle w:val="16"/>
            </w:pPr>
            <w:r>
              <w:t>≤262.36万元</w:t>
            </w:r>
          </w:p>
        </w:tc>
        <w:tc>
          <w:tcPr>
            <w:tcW w:w="2268" w:type="dxa"/>
            <w:vAlign w:val="center"/>
          </w:tcPr>
          <w:p>
            <w:pPr>
              <w:pStyle w:val="16"/>
            </w:pPr>
            <w:r>
              <w:t>合同</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土地转用征收需求</w:t>
            </w:r>
          </w:p>
        </w:tc>
        <w:tc>
          <w:tcPr>
            <w:tcW w:w="2835" w:type="dxa"/>
            <w:vAlign w:val="center"/>
          </w:tcPr>
          <w:p>
            <w:pPr>
              <w:pStyle w:val="16"/>
            </w:pPr>
            <w:r>
              <w:t>取得组卷材料</w:t>
            </w:r>
          </w:p>
        </w:tc>
        <w:tc>
          <w:tcPr>
            <w:tcW w:w="2551" w:type="dxa"/>
            <w:vAlign w:val="center"/>
          </w:tcPr>
          <w:p>
            <w:pPr>
              <w:pStyle w:val="16"/>
            </w:pPr>
            <w:r>
              <w:t>保障</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土地转用征收需求</w:t>
            </w:r>
          </w:p>
        </w:tc>
        <w:tc>
          <w:tcPr>
            <w:tcW w:w="2835" w:type="dxa"/>
            <w:vAlign w:val="center"/>
          </w:tcPr>
          <w:p>
            <w:pPr>
              <w:pStyle w:val="16"/>
            </w:pPr>
            <w:r>
              <w:t>达到征地组卷要求</w:t>
            </w:r>
          </w:p>
        </w:tc>
        <w:tc>
          <w:tcPr>
            <w:tcW w:w="2551" w:type="dxa"/>
            <w:vAlign w:val="center"/>
          </w:tcPr>
          <w:p>
            <w:pPr>
              <w:pStyle w:val="16"/>
            </w:pPr>
            <w:r>
              <w:t>≥95%</w:t>
            </w:r>
          </w:p>
        </w:tc>
        <w:tc>
          <w:tcPr>
            <w:tcW w:w="2268" w:type="dxa"/>
            <w:vAlign w:val="center"/>
          </w:tcPr>
          <w:p>
            <w:pPr>
              <w:pStyle w:val="16"/>
            </w:pPr>
            <w:r>
              <w:t>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、物流港及周边附属配套基础设施项目前期手续费绩效目标表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1.通过该项目的实施确保2022年北京大兴国际机场临空经济区（廊坊）专项债券项目成功申报；提升区域社会影响力、区域价值，促进区域基础设施建设顺利开展。</w:t>
            </w:r>
          </w:p>
          <w:p>
            <w:pPr>
              <w:pStyle w:val="16"/>
            </w:pPr>
            <w:r>
              <w:t>2.通过项目的开展，编制可行性研究报告不少于2份，社会稳定性风险分析报告不少于1份，项目建议书不少于1份，用地预审及选址意见报告编制不少于1份，保障临空经济区基础设施建设顺利开展。提升区域社会影响力、区域价值，促进区域基础设施建设顺利开展。</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用地预审及选址意见</w:t>
            </w:r>
          </w:p>
        </w:tc>
        <w:tc>
          <w:tcPr>
            <w:tcW w:w="2835" w:type="dxa"/>
            <w:vAlign w:val="center"/>
          </w:tcPr>
          <w:p>
            <w:pPr>
              <w:pStyle w:val="16"/>
            </w:pPr>
            <w:r>
              <w:t>用地预审及选址意见报告数量</w:t>
            </w:r>
          </w:p>
        </w:tc>
        <w:tc>
          <w:tcPr>
            <w:tcW w:w="2551" w:type="dxa"/>
            <w:vAlign w:val="center"/>
          </w:tcPr>
          <w:p>
            <w:pPr>
              <w:pStyle w:val="16"/>
            </w:pPr>
            <w:r>
              <w:t>1份</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社会稳定风险分析报告</w:t>
            </w:r>
          </w:p>
        </w:tc>
        <w:tc>
          <w:tcPr>
            <w:tcW w:w="2835" w:type="dxa"/>
            <w:vAlign w:val="center"/>
          </w:tcPr>
          <w:p>
            <w:pPr>
              <w:pStyle w:val="16"/>
            </w:pPr>
            <w:r>
              <w:t>社会稳定风险分析报告</w:t>
            </w:r>
          </w:p>
        </w:tc>
        <w:tc>
          <w:tcPr>
            <w:tcW w:w="2551" w:type="dxa"/>
            <w:vAlign w:val="center"/>
          </w:tcPr>
          <w:p>
            <w:pPr>
              <w:pStyle w:val="16"/>
            </w:pPr>
            <w:r>
              <w:t>1册</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报告及建议书评审通过率</w:t>
            </w:r>
          </w:p>
        </w:tc>
        <w:tc>
          <w:tcPr>
            <w:tcW w:w="2835" w:type="dxa"/>
            <w:vAlign w:val="center"/>
          </w:tcPr>
          <w:p>
            <w:pPr>
              <w:pStyle w:val="16"/>
            </w:pPr>
            <w:r>
              <w:t>评审通过报告及建议书数量/报告及建议书总数量*100%</w:t>
            </w:r>
          </w:p>
        </w:tc>
        <w:tc>
          <w:tcPr>
            <w:tcW w:w="2551" w:type="dxa"/>
            <w:vAlign w:val="center"/>
          </w:tcPr>
          <w:p>
            <w:pPr>
              <w:pStyle w:val="16"/>
            </w:pPr>
            <w:r>
              <w:t>≥95%</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项目完成及时性</w:t>
            </w:r>
          </w:p>
        </w:tc>
        <w:tc>
          <w:tcPr>
            <w:tcW w:w="2835" w:type="dxa"/>
            <w:vAlign w:val="center"/>
          </w:tcPr>
          <w:p>
            <w:pPr>
              <w:pStyle w:val="16"/>
            </w:pPr>
            <w:r>
              <w:t>2022年3月底前完成</w:t>
            </w:r>
          </w:p>
        </w:tc>
        <w:tc>
          <w:tcPr>
            <w:tcW w:w="2551" w:type="dxa"/>
            <w:vAlign w:val="center"/>
          </w:tcPr>
          <w:p>
            <w:pPr>
              <w:pStyle w:val="16"/>
            </w:pPr>
            <w:r>
              <w:t>及时</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用地预审及选址意见成本</w:t>
            </w:r>
          </w:p>
        </w:tc>
        <w:tc>
          <w:tcPr>
            <w:tcW w:w="2835" w:type="dxa"/>
            <w:vAlign w:val="center"/>
          </w:tcPr>
          <w:p>
            <w:pPr>
              <w:pStyle w:val="16"/>
            </w:pPr>
            <w:r>
              <w:t>用地预审及选址意见成本控制情况</w:t>
            </w:r>
          </w:p>
        </w:tc>
        <w:tc>
          <w:tcPr>
            <w:tcW w:w="2551" w:type="dxa"/>
            <w:vAlign w:val="center"/>
          </w:tcPr>
          <w:p>
            <w:pPr>
              <w:pStyle w:val="16"/>
            </w:pPr>
            <w:r>
              <w:t>≤14万元</w:t>
            </w:r>
          </w:p>
        </w:tc>
        <w:tc>
          <w:tcPr>
            <w:tcW w:w="2268" w:type="dxa"/>
            <w:vAlign w:val="center"/>
          </w:tcPr>
          <w:p>
            <w:pPr>
              <w:pStyle w:val="16"/>
            </w:pPr>
            <w:r>
              <w:t>根据合同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社会稳定风险分析报告</w:t>
            </w:r>
          </w:p>
          <w:p>
            <w:pPr>
              <w:pStyle w:val="16"/>
            </w:pPr>
            <w:r>
              <w:t>成本</w:t>
            </w:r>
          </w:p>
        </w:tc>
        <w:tc>
          <w:tcPr>
            <w:tcW w:w="2835" w:type="dxa"/>
            <w:vAlign w:val="center"/>
          </w:tcPr>
          <w:p>
            <w:pPr>
              <w:pStyle w:val="16"/>
            </w:pPr>
            <w:r>
              <w:t>社会稳定风险分析报告</w:t>
            </w:r>
          </w:p>
          <w:p>
            <w:pPr>
              <w:pStyle w:val="16"/>
            </w:pPr>
            <w:r>
              <w:t>成本控制情况</w:t>
            </w:r>
          </w:p>
        </w:tc>
        <w:tc>
          <w:tcPr>
            <w:tcW w:w="2551" w:type="dxa"/>
            <w:vAlign w:val="center"/>
          </w:tcPr>
          <w:p>
            <w:pPr>
              <w:pStyle w:val="16"/>
            </w:pPr>
            <w:r>
              <w:t>≤16万元</w:t>
            </w:r>
          </w:p>
        </w:tc>
        <w:tc>
          <w:tcPr>
            <w:tcW w:w="2268" w:type="dxa"/>
            <w:vAlign w:val="center"/>
          </w:tcPr>
          <w:p>
            <w:pPr>
              <w:pStyle w:val="16"/>
            </w:pPr>
            <w:r>
              <w:t>根据合同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提升区域影响力</w:t>
            </w:r>
          </w:p>
        </w:tc>
        <w:tc>
          <w:tcPr>
            <w:tcW w:w="2835" w:type="dxa"/>
            <w:vAlign w:val="center"/>
          </w:tcPr>
          <w:p>
            <w:pPr>
              <w:pStyle w:val="16"/>
            </w:pPr>
            <w:r>
              <w:t>提升区域影响力</w:t>
            </w:r>
          </w:p>
        </w:tc>
        <w:tc>
          <w:tcPr>
            <w:tcW w:w="2551" w:type="dxa"/>
            <w:vAlign w:val="center"/>
          </w:tcPr>
          <w:p>
            <w:pPr>
              <w:pStyle w:val="16"/>
            </w:pPr>
            <w:r>
              <w:t>提升</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报告使用年限</w:t>
            </w:r>
          </w:p>
        </w:tc>
        <w:tc>
          <w:tcPr>
            <w:tcW w:w="2835" w:type="dxa"/>
            <w:vAlign w:val="center"/>
          </w:tcPr>
          <w:p>
            <w:pPr>
              <w:pStyle w:val="16"/>
            </w:pPr>
            <w:r>
              <w:t>考察报告使用年限</w:t>
            </w:r>
          </w:p>
        </w:tc>
        <w:tc>
          <w:tcPr>
            <w:tcW w:w="2551" w:type="dxa"/>
            <w:vAlign w:val="center"/>
          </w:tcPr>
          <w:p>
            <w:pPr>
              <w:pStyle w:val="16"/>
            </w:pPr>
            <w:r>
              <w:t>≥2年</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相关工作人员满意度</w:t>
            </w:r>
          </w:p>
        </w:tc>
        <w:tc>
          <w:tcPr>
            <w:tcW w:w="2835" w:type="dxa"/>
            <w:vAlign w:val="center"/>
          </w:tcPr>
          <w:p>
            <w:pPr>
              <w:pStyle w:val="16"/>
            </w:pPr>
            <w:r>
              <w:t>满意工作人员数量/工作人员总数量*100%</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、项目咨询评估经费绩效目标表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1.通过项目的开展为临空经济区行政审批工作提供必要支撑，进而服务临空经济区项目建设。</w:t>
            </w:r>
          </w:p>
          <w:p>
            <w:pPr>
              <w:pStyle w:val="16"/>
            </w:pPr>
            <w:r>
              <w:t>2.通过项目的开展，通过购买服务的方式完成水土保持方案、洪水影响评价、取水许可、水工程建设规划同意书等水利审批事项相关技术审查、投资项目类咨询评估（可研报告、初步设计评审等）两项咨询评估工作，评审结果及报告达到行业标准。并安装合同约定时间完成报告的提交。预算控制在606万元内。为临空经济区政务服务中心依法依规开展行政审批工作提供有力保障，为企业提供良好营商环境。</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655"/>
        <w:gridCol w:w="3277"/>
        <w:gridCol w:w="4161"/>
        <w:gridCol w:w="1438"/>
        <w:gridCol w:w="1799"/>
      </w:tblGrid>
      <w:tr>
        <w:trPr>
          <w:trHeight w:val="397" w:hRule="atLeast"/>
          <w:tblHeader/>
          <w:jc w:val="center"/>
        </w:trPr>
        <w:tc>
          <w:tcPr>
            <w:tcW w:w="2466" w:type="dxa"/>
            <w:vAlign w:val="center"/>
          </w:tcPr>
          <w:p>
            <w:pPr>
              <w:pStyle w:val="14"/>
            </w:pPr>
            <w:r>
              <w:t>一级指标</w:t>
            </w:r>
          </w:p>
        </w:tc>
        <w:tc>
          <w:tcPr>
            <w:tcW w:w="1655" w:type="dxa"/>
            <w:vAlign w:val="center"/>
          </w:tcPr>
          <w:p>
            <w:pPr>
              <w:pStyle w:val="14"/>
            </w:pPr>
            <w:r>
              <w:t>二级指标</w:t>
            </w:r>
          </w:p>
        </w:tc>
        <w:tc>
          <w:tcPr>
            <w:tcW w:w="3277" w:type="dxa"/>
            <w:vAlign w:val="center"/>
          </w:tcPr>
          <w:p>
            <w:pPr>
              <w:pStyle w:val="14"/>
            </w:pPr>
            <w:r>
              <w:t>三级指标</w:t>
            </w:r>
          </w:p>
        </w:tc>
        <w:tc>
          <w:tcPr>
            <w:tcW w:w="4161" w:type="dxa"/>
            <w:vAlign w:val="center"/>
          </w:tcPr>
          <w:p>
            <w:pPr>
              <w:pStyle w:val="14"/>
            </w:pPr>
            <w:r>
              <w:t>绩效指标描述</w:t>
            </w:r>
          </w:p>
        </w:tc>
        <w:tc>
          <w:tcPr>
            <w:tcW w:w="1438" w:type="dxa"/>
            <w:vAlign w:val="center"/>
          </w:tcPr>
          <w:p>
            <w:pPr>
              <w:pStyle w:val="14"/>
            </w:pPr>
            <w:r>
              <w:t>指标值</w:t>
            </w:r>
          </w:p>
        </w:tc>
        <w:tc>
          <w:tcPr>
            <w:tcW w:w="1799"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655" w:type="dxa"/>
            <w:vAlign w:val="center"/>
          </w:tcPr>
          <w:p>
            <w:pPr>
              <w:pStyle w:val="16"/>
            </w:pPr>
            <w:r>
              <w:t>数量指标</w:t>
            </w:r>
          </w:p>
        </w:tc>
        <w:tc>
          <w:tcPr>
            <w:tcW w:w="3277" w:type="dxa"/>
            <w:vAlign w:val="center"/>
          </w:tcPr>
          <w:p>
            <w:pPr>
              <w:pStyle w:val="16"/>
            </w:pPr>
            <w:r>
              <w:t>水土保持方案、洪水影响评价、取水许可、水工程建设规划同意书等水利审批事项相关技术审查数量</w:t>
            </w:r>
          </w:p>
        </w:tc>
        <w:tc>
          <w:tcPr>
            <w:tcW w:w="4161" w:type="dxa"/>
            <w:vAlign w:val="center"/>
          </w:tcPr>
          <w:p>
            <w:pPr>
              <w:pStyle w:val="16"/>
            </w:pPr>
            <w:r>
              <w:t>水土保持方案、洪水影响评价、取水许可、水工程建设规划同意书等水利审批事项相关技术审查数量</w:t>
            </w:r>
          </w:p>
        </w:tc>
        <w:tc>
          <w:tcPr>
            <w:tcW w:w="1438" w:type="dxa"/>
            <w:vAlign w:val="center"/>
          </w:tcPr>
          <w:p>
            <w:pPr>
              <w:pStyle w:val="16"/>
            </w:pPr>
            <w:r>
              <w:t>≥1项</w:t>
            </w:r>
          </w:p>
        </w:tc>
        <w:tc>
          <w:tcPr>
            <w:tcW w:w="1799" w:type="dxa"/>
            <w:vAlign w:val="center"/>
          </w:tcPr>
          <w:p>
            <w:pPr>
              <w:pStyle w:val="16"/>
            </w:pPr>
            <w:r>
              <w:t>工作计划</w:t>
            </w:r>
          </w:p>
        </w:tc>
      </w:tr>
      <w:tr>
        <w:trPr>
          <w:trHeight w:val="397" w:hRule="atLeast"/>
          <w:jc w:val="center"/>
        </w:trPr>
        <w:tc>
          <w:tcPr>
            <w:tcW w:w="2466" w:type="dxa"/>
            <w:vMerge w:val="continue"/>
            <w:vAlign w:val="center"/>
          </w:tcPr>
          <w:p/>
        </w:tc>
        <w:tc>
          <w:tcPr>
            <w:tcW w:w="1655" w:type="dxa"/>
            <w:vAlign w:val="center"/>
          </w:tcPr>
          <w:p>
            <w:pPr>
              <w:pStyle w:val="16"/>
            </w:pPr>
            <w:r>
              <w:t>数量指标</w:t>
            </w:r>
          </w:p>
        </w:tc>
        <w:tc>
          <w:tcPr>
            <w:tcW w:w="3277" w:type="dxa"/>
            <w:vAlign w:val="center"/>
          </w:tcPr>
          <w:p>
            <w:pPr>
              <w:pStyle w:val="16"/>
            </w:pPr>
            <w:r>
              <w:t>投资项目类咨询评估（可研报告、初步设计评审等）数量</w:t>
            </w:r>
          </w:p>
        </w:tc>
        <w:tc>
          <w:tcPr>
            <w:tcW w:w="4161" w:type="dxa"/>
            <w:vAlign w:val="center"/>
          </w:tcPr>
          <w:p>
            <w:pPr>
              <w:pStyle w:val="16"/>
            </w:pPr>
            <w:r>
              <w:t>投资项目类咨询评估（可研报告、初步设计评审等）数量</w:t>
            </w:r>
          </w:p>
        </w:tc>
        <w:tc>
          <w:tcPr>
            <w:tcW w:w="1438" w:type="dxa"/>
            <w:vAlign w:val="center"/>
          </w:tcPr>
          <w:p>
            <w:pPr>
              <w:pStyle w:val="16"/>
            </w:pPr>
            <w:r>
              <w:t>≥1项</w:t>
            </w:r>
          </w:p>
        </w:tc>
        <w:tc>
          <w:tcPr>
            <w:tcW w:w="1799" w:type="dxa"/>
            <w:vAlign w:val="center"/>
          </w:tcPr>
          <w:p>
            <w:pPr>
              <w:pStyle w:val="16"/>
            </w:pPr>
            <w:r>
              <w:t>工作计划</w:t>
            </w:r>
          </w:p>
        </w:tc>
      </w:tr>
      <w:tr>
        <w:trPr>
          <w:trHeight w:val="397" w:hRule="atLeast"/>
          <w:jc w:val="center"/>
        </w:trPr>
        <w:tc>
          <w:tcPr>
            <w:tcW w:w="2466" w:type="dxa"/>
            <w:vMerge w:val="continue"/>
            <w:vAlign w:val="center"/>
          </w:tcPr>
          <w:p/>
        </w:tc>
        <w:tc>
          <w:tcPr>
            <w:tcW w:w="1655" w:type="dxa"/>
            <w:vAlign w:val="center"/>
          </w:tcPr>
          <w:p>
            <w:pPr>
              <w:pStyle w:val="16"/>
            </w:pPr>
            <w:r>
              <w:t>质量指标</w:t>
            </w:r>
          </w:p>
        </w:tc>
        <w:tc>
          <w:tcPr>
            <w:tcW w:w="3277" w:type="dxa"/>
            <w:vAlign w:val="center"/>
          </w:tcPr>
          <w:p>
            <w:pPr>
              <w:pStyle w:val="16"/>
            </w:pPr>
            <w:r>
              <w:t>评审结果或评审报告合格率</w:t>
            </w:r>
          </w:p>
        </w:tc>
        <w:tc>
          <w:tcPr>
            <w:tcW w:w="4161" w:type="dxa"/>
            <w:vAlign w:val="center"/>
          </w:tcPr>
          <w:p>
            <w:pPr>
              <w:pStyle w:val="16"/>
            </w:pPr>
            <w:r>
              <w:t>评审结果或评审报告合格数/评估评审结果总数量*100%</w:t>
            </w:r>
          </w:p>
        </w:tc>
        <w:tc>
          <w:tcPr>
            <w:tcW w:w="1438" w:type="dxa"/>
            <w:vAlign w:val="center"/>
          </w:tcPr>
          <w:p>
            <w:pPr>
              <w:pStyle w:val="16"/>
            </w:pPr>
            <w:r>
              <w:t>100%</w:t>
            </w:r>
          </w:p>
        </w:tc>
        <w:tc>
          <w:tcPr>
            <w:tcW w:w="1799" w:type="dxa"/>
            <w:vAlign w:val="center"/>
          </w:tcPr>
          <w:p>
            <w:pPr>
              <w:pStyle w:val="16"/>
            </w:pPr>
            <w:r>
              <w:t>工作计划</w:t>
            </w:r>
          </w:p>
        </w:tc>
      </w:tr>
      <w:tr>
        <w:trPr>
          <w:trHeight w:val="397" w:hRule="atLeast"/>
          <w:jc w:val="center"/>
        </w:trPr>
        <w:tc>
          <w:tcPr>
            <w:tcW w:w="2466" w:type="dxa"/>
            <w:vMerge w:val="continue"/>
            <w:vAlign w:val="center"/>
          </w:tcPr>
          <w:p/>
        </w:tc>
        <w:tc>
          <w:tcPr>
            <w:tcW w:w="1655" w:type="dxa"/>
            <w:vAlign w:val="center"/>
          </w:tcPr>
          <w:p>
            <w:pPr>
              <w:pStyle w:val="16"/>
            </w:pPr>
            <w:r>
              <w:t>时效指标</w:t>
            </w:r>
          </w:p>
        </w:tc>
        <w:tc>
          <w:tcPr>
            <w:tcW w:w="3277" w:type="dxa"/>
            <w:vAlign w:val="center"/>
          </w:tcPr>
          <w:p>
            <w:pPr>
              <w:pStyle w:val="16"/>
            </w:pPr>
            <w:r>
              <w:t>项目咨询评估的完成及时性</w:t>
            </w:r>
          </w:p>
        </w:tc>
        <w:tc>
          <w:tcPr>
            <w:tcW w:w="4161" w:type="dxa"/>
            <w:vAlign w:val="center"/>
          </w:tcPr>
          <w:p>
            <w:pPr>
              <w:pStyle w:val="16"/>
            </w:pPr>
            <w:r>
              <w:t>考察咨询评估完成的及时情况</w:t>
            </w:r>
          </w:p>
        </w:tc>
        <w:tc>
          <w:tcPr>
            <w:tcW w:w="1438" w:type="dxa"/>
            <w:vAlign w:val="center"/>
          </w:tcPr>
          <w:p>
            <w:pPr>
              <w:pStyle w:val="16"/>
            </w:pPr>
            <w:r>
              <w:t>及时</w:t>
            </w:r>
          </w:p>
        </w:tc>
        <w:tc>
          <w:tcPr>
            <w:tcW w:w="1799" w:type="dxa"/>
            <w:vAlign w:val="center"/>
          </w:tcPr>
          <w:p>
            <w:pPr>
              <w:pStyle w:val="16"/>
            </w:pPr>
            <w:r>
              <w:t>工作计划</w:t>
            </w:r>
          </w:p>
        </w:tc>
      </w:tr>
      <w:tr>
        <w:trPr>
          <w:trHeight w:val="397" w:hRule="atLeast"/>
          <w:jc w:val="center"/>
        </w:trPr>
        <w:tc>
          <w:tcPr>
            <w:tcW w:w="2466" w:type="dxa"/>
            <w:vMerge w:val="continue"/>
            <w:vAlign w:val="center"/>
          </w:tcPr>
          <w:p/>
        </w:tc>
        <w:tc>
          <w:tcPr>
            <w:tcW w:w="1655" w:type="dxa"/>
            <w:vAlign w:val="center"/>
          </w:tcPr>
          <w:p>
            <w:pPr>
              <w:pStyle w:val="16"/>
            </w:pPr>
            <w:r>
              <w:t>成本指标</w:t>
            </w:r>
          </w:p>
        </w:tc>
        <w:tc>
          <w:tcPr>
            <w:tcW w:w="3277" w:type="dxa"/>
            <w:vAlign w:val="center"/>
          </w:tcPr>
          <w:p>
            <w:pPr>
              <w:pStyle w:val="16"/>
            </w:pPr>
            <w:r>
              <w:t>项目咨询评估服务成本</w:t>
            </w:r>
          </w:p>
        </w:tc>
        <w:tc>
          <w:tcPr>
            <w:tcW w:w="4161" w:type="dxa"/>
            <w:vAlign w:val="center"/>
          </w:tcPr>
          <w:p>
            <w:pPr>
              <w:pStyle w:val="16"/>
            </w:pPr>
            <w:r>
              <w:t>考察咨询评估工作的服务费用总成本控制情况</w:t>
            </w:r>
          </w:p>
        </w:tc>
        <w:tc>
          <w:tcPr>
            <w:tcW w:w="1438" w:type="dxa"/>
            <w:vAlign w:val="center"/>
          </w:tcPr>
          <w:p>
            <w:pPr>
              <w:pStyle w:val="16"/>
            </w:pPr>
            <w:r>
              <w:t>≤606万元</w:t>
            </w:r>
          </w:p>
        </w:tc>
        <w:tc>
          <w:tcPr>
            <w:tcW w:w="1799" w:type="dxa"/>
            <w:vAlign w:val="center"/>
          </w:tcPr>
          <w:p>
            <w:pPr>
              <w:pStyle w:val="16"/>
            </w:pPr>
            <w:r>
              <w:t>合同约定</w:t>
            </w:r>
          </w:p>
        </w:tc>
      </w:tr>
      <w:tr>
        <w:trPr>
          <w:trHeight w:val="397" w:hRule="atLeast"/>
          <w:jc w:val="center"/>
        </w:trPr>
        <w:tc>
          <w:tcPr>
            <w:tcW w:w="2466" w:type="dxa"/>
            <w:vMerge w:val="continue"/>
            <w:vAlign w:val="center"/>
          </w:tcPr>
          <w:p/>
        </w:tc>
        <w:tc>
          <w:tcPr>
            <w:tcW w:w="1655" w:type="dxa"/>
            <w:vAlign w:val="center"/>
          </w:tcPr>
          <w:p>
            <w:pPr>
              <w:pStyle w:val="16"/>
            </w:pPr>
            <w:r>
              <w:t>成本指标</w:t>
            </w:r>
          </w:p>
        </w:tc>
        <w:tc>
          <w:tcPr>
            <w:tcW w:w="3277" w:type="dxa"/>
            <w:vAlign w:val="center"/>
          </w:tcPr>
          <w:p>
            <w:pPr>
              <w:pStyle w:val="16"/>
            </w:pPr>
            <w:r>
              <w:t>水土保持方案、洪水影响评价、取水许可、水工程建设规划同意书等水利审批事项相关技术审查成本</w:t>
            </w:r>
          </w:p>
        </w:tc>
        <w:tc>
          <w:tcPr>
            <w:tcW w:w="4161" w:type="dxa"/>
            <w:vAlign w:val="center"/>
          </w:tcPr>
          <w:p>
            <w:pPr>
              <w:pStyle w:val="16"/>
            </w:pPr>
            <w:r>
              <w:t>考察水土保持方案、洪水影响评价、取水许可、水工程建设规划同意书等水利审批事项相关技术审查成本控制情况</w:t>
            </w:r>
          </w:p>
        </w:tc>
        <w:tc>
          <w:tcPr>
            <w:tcW w:w="1438" w:type="dxa"/>
            <w:vAlign w:val="center"/>
          </w:tcPr>
          <w:p>
            <w:pPr>
              <w:pStyle w:val="16"/>
            </w:pPr>
            <w:r>
              <w:t>≤164万元</w:t>
            </w:r>
          </w:p>
        </w:tc>
        <w:tc>
          <w:tcPr>
            <w:tcW w:w="1799" w:type="dxa"/>
            <w:vAlign w:val="center"/>
          </w:tcPr>
          <w:p>
            <w:pPr>
              <w:pStyle w:val="16"/>
            </w:pPr>
            <w:r>
              <w:t>合同约定</w:t>
            </w:r>
          </w:p>
        </w:tc>
      </w:tr>
      <w:tr>
        <w:trPr>
          <w:trHeight w:val="397" w:hRule="atLeast"/>
          <w:jc w:val="center"/>
        </w:trPr>
        <w:tc>
          <w:tcPr>
            <w:tcW w:w="2466" w:type="dxa"/>
            <w:vMerge w:val="continue"/>
            <w:vAlign w:val="center"/>
          </w:tcPr>
          <w:p/>
        </w:tc>
        <w:tc>
          <w:tcPr>
            <w:tcW w:w="1655" w:type="dxa"/>
            <w:vAlign w:val="center"/>
          </w:tcPr>
          <w:p>
            <w:pPr>
              <w:pStyle w:val="16"/>
            </w:pPr>
            <w:r>
              <w:t>成本指标</w:t>
            </w:r>
          </w:p>
        </w:tc>
        <w:tc>
          <w:tcPr>
            <w:tcW w:w="3277" w:type="dxa"/>
            <w:vAlign w:val="center"/>
          </w:tcPr>
          <w:p>
            <w:pPr>
              <w:pStyle w:val="16"/>
            </w:pPr>
            <w:r>
              <w:t>投资项目类咨询评估（可研报告、初步设计评审等）成本</w:t>
            </w:r>
          </w:p>
        </w:tc>
        <w:tc>
          <w:tcPr>
            <w:tcW w:w="4161" w:type="dxa"/>
            <w:vAlign w:val="center"/>
          </w:tcPr>
          <w:p>
            <w:pPr>
              <w:pStyle w:val="16"/>
            </w:pPr>
            <w:r>
              <w:t>考察投资项目类咨询评估（可研报告、初步设计评审等）成本控制情况</w:t>
            </w:r>
          </w:p>
        </w:tc>
        <w:tc>
          <w:tcPr>
            <w:tcW w:w="1438" w:type="dxa"/>
            <w:vAlign w:val="center"/>
          </w:tcPr>
          <w:p>
            <w:pPr>
              <w:pStyle w:val="16"/>
            </w:pPr>
            <w:r>
              <w:t>≤442万元</w:t>
            </w:r>
          </w:p>
        </w:tc>
        <w:tc>
          <w:tcPr>
            <w:tcW w:w="1799" w:type="dxa"/>
            <w:vAlign w:val="center"/>
          </w:tcPr>
          <w:p>
            <w:pPr>
              <w:pStyle w:val="16"/>
            </w:pPr>
            <w:r>
              <w:t>合同约定</w:t>
            </w:r>
          </w:p>
        </w:tc>
      </w:tr>
      <w:tr>
        <w:trPr>
          <w:trHeight w:val="397" w:hRule="atLeast"/>
          <w:jc w:val="center"/>
        </w:trPr>
        <w:tc>
          <w:tcPr>
            <w:tcW w:w="2466" w:type="dxa"/>
            <w:vAlign w:val="center"/>
          </w:tcPr>
          <w:p>
            <w:pPr>
              <w:pStyle w:val="17"/>
            </w:pPr>
            <w:r>
              <w:t>效益指标</w:t>
            </w:r>
          </w:p>
        </w:tc>
        <w:tc>
          <w:tcPr>
            <w:tcW w:w="1655" w:type="dxa"/>
            <w:vAlign w:val="center"/>
          </w:tcPr>
          <w:p>
            <w:pPr>
              <w:pStyle w:val="16"/>
            </w:pPr>
            <w:r>
              <w:t>社会效益指标</w:t>
            </w:r>
          </w:p>
        </w:tc>
        <w:tc>
          <w:tcPr>
            <w:tcW w:w="3277" w:type="dxa"/>
            <w:vAlign w:val="center"/>
          </w:tcPr>
          <w:p>
            <w:pPr>
              <w:pStyle w:val="16"/>
            </w:pPr>
            <w:r>
              <w:t>保障临空经济区政务服务正常开展</w:t>
            </w:r>
          </w:p>
        </w:tc>
        <w:tc>
          <w:tcPr>
            <w:tcW w:w="4161" w:type="dxa"/>
            <w:vAlign w:val="center"/>
          </w:tcPr>
          <w:p>
            <w:pPr>
              <w:pStyle w:val="16"/>
            </w:pPr>
            <w:r>
              <w:t>通过本项目实施，保障审批工作正常开展，为企业提供高效政务服务。</w:t>
            </w:r>
          </w:p>
        </w:tc>
        <w:tc>
          <w:tcPr>
            <w:tcW w:w="1438" w:type="dxa"/>
            <w:vAlign w:val="center"/>
          </w:tcPr>
          <w:p>
            <w:pPr>
              <w:pStyle w:val="16"/>
            </w:pPr>
            <w:r>
              <w:t>保障</w:t>
            </w:r>
          </w:p>
        </w:tc>
        <w:tc>
          <w:tcPr>
            <w:tcW w:w="1799" w:type="dxa"/>
            <w:vAlign w:val="center"/>
          </w:tcPr>
          <w:p>
            <w:pPr>
              <w:pStyle w:val="16"/>
            </w:pPr>
            <w:r>
              <w:t>工作计划</w:t>
            </w:r>
          </w:p>
        </w:tc>
      </w:tr>
      <w:tr>
        <w:trPr>
          <w:trHeight w:val="397" w:hRule="atLeast"/>
          <w:jc w:val="center"/>
        </w:trPr>
        <w:tc>
          <w:tcPr>
            <w:tcW w:w="2466" w:type="dxa"/>
            <w:vAlign w:val="center"/>
          </w:tcPr>
          <w:p>
            <w:pPr>
              <w:pStyle w:val="17"/>
            </w:pPr>
            <w:r>
              <w:t>满意度指标</w:t>
            </w:r>
          </w:p>
        </w:tc>
        <w:tc>
          <w:tcPr>
            <w:tcW w:w="1655" w:type="dxa"/>
            <w:vAlign w:val="center"/>
          </w:tcPr>
          <w:p>
            <w:pPr>
              <w:pStyle w:val="16"/>
            </w:pPr>
            <w:r>
              <w:t>服务对象满意度指标</w:t>
            </w:r>
          </w:p>
        </w:tc>
        <w:tc>
          <w:tcPr>
            <w:tcW w:w="3277" w:type="dxa"/>
            <w:vAlign w:val="center"/>
          </w:tcPr>
          <w:p>
            <w:pPr>
              <w:pStyle w:val="16"/>
            </w:pPr>
            <w:r>
              <w:t>审批部门对咨询评估服务满意度</w:t>
            </w:r>
          </w:p>
        </w:tc>
        <w:tc>
          <w:tcPr>
            <w:tcW w:w="4161" w:type="dxa"/>
            <w:vAlign w:val="center"/>
          </w:tcPr>
          <w:p>
            <w:pPr>
              <w:pStyle w:val="16"/>
            </w:pPr>
            <w:r>
              <w:t>审批部门满意人数/调查总人数*100%</w:t>
            </w:r>
          </w:p>
        </w:tc>
        <w:tc>
          <w:tcPr>
            <w:tcW w:w="1438" w:type="dxa"/>
            <w:vAlign w:val="center"/>
          </w:tcPr>
          <w:p>
            <w:pPr>
              <w:pStyle w:val="16"/>
            </w:pPr>
            <w:r>
              <w:t>≥90%</w:t>
            </w:r>
          </w:p>
        </w:tc>
        <w:tc>
          <w:tcPr>
            <w:tcW w:w="1799"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、消防车购置项目绩效目标表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根据《城市消防站建设标准》，完成消防站车辆配置标准，更好的保护当地群众人身、公共财产安全，为当地社会经济的快速发展提供更加有力的保障，同时能更好地服务大局、服务群众、服务社会，为树立消防救援队伍的良好形象创造了条件，奠定了基础。</w:t>
            </w:r>
          </w:p>
          <w:p>
            <w:pPr>
              <w:pStyle w:val="16"/>
            </w:pPr>
            <w:r>
              <w:t>2.结合临空经济区辖区灾害事故特点，一次招标，分阶段完成消防车辆配置，使消防站投入使用并执勤。</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79"/>
        <w:gridCol w:w="1853"/>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079" w:type="dxa"/>
            <w:vAlign w:val="center"/>
          </w:tcPr>
          <w:p>
            <w:pPr>
              <w:pStyle w:val="14"/>
            </w:pPr>
            <w:r>
              <w:t>绩效指标描述</w:t>
            </w:r>
          </w:p>
        </w:tc>
        <w:tc>
          <w:tcPr>
            <w:tcW w:w="1853"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消防车数量</w:t>
            </w:r>
          </w:p>
        </w:tc>
        <w:tc>
          <w:tcPr>
            <w:tcW w:w="3079" w:type="dxa"/>
            <w:vAlign w:val="center"/>
          </w:tcPr>
          <w:p>
            <w:pPr>
              <w:pStyle w:val="16"/>
            </w:pPr>
            <w:r>
              <w:t>考察消防车辆采购情况</w:t>
            </w:r>
          </w:p>
        </w:tc>
        <w:tc>
          <w:tcPr>
            <w:tcW w:w="1853" w:type="dxa"/>
            <w:vAlign w:val="center"/>
          </w:tcPr>
          <w:p>
            <w:pPr>
              <w:pStyle w:val="16"/>
            </w:pPr>
            <w:r>
              <w:t>5辆</w:t>
            </w:r>
          </w:p>
        </w:tc>
        <w:tc>
          <w:tcPr>
            <w:tcW w:w="2466" w:type="dxa"/>
            <w:vAlign w:val="center"/>
          </w:tcPr>
          <w:p>
            <w:pPr>
              <w:pStyle w:val="16"/>
            </w:pPr>
            <w:r>
              <w:t>招标文件、采购合同</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w:t>
            </w:r>
          </w:p>
        </w:tc>
        <w:tc>
          <w:tcPr>
            <w:tcW w:w="3079" w:type="dxa"/>
            <w:vAlign w:val="center"/>
          </w:tcPr>
          <w:p>
            <w:pPr>
              <w:pStyle w:val="16"/>
            </w:pPr>
            <w:r>
              <w:t>该指标主要考核项目实际支出是否控制在预算金额内。</w:t>
            </w:r>
          </w:p>
        </w:tc>
        <w:tc>
          <w:tcPr>
            <w:tcW w:w="1853" w:type="dxa"/>
            <w:vAlign w:val="center"/>
          </w:tcPr>
          <w:p>
            <w:pPr>
              <w:pStyle w:val="16"/>
            </w:pPr>
            <w:r>
              <w:t>≤1402万元</w:t>
            </w:r>
          </w:p>
        </w:tc>
        <w:tc>
          <w:tcPr>
            <w:tcW w:w="2466" w:type="dxa"/>
            <w:vAlign w:val="center"/>
          </w:tcPr>
          <w:p>
            <w:pPr>
              <w:pStyle w:val="16"/>
            </w:pPr>
            <w:r>
              <w:t>预算文本、采购合同</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采购车辆质量合格率</w:t>
            </w:r>
          </w:p>
        </w:tc>
        <w:tc>
          <w:tcPr>
            <w:tcW w:w="3079" w:type="dxa"/>
            <w:vAlign w:val="center"/>
          </w:tcPr>
          <w:p>
            <w:pPr>
              <w:pStyle w:val="16"/>
            </w:pPr>
            <w:r>
              <w:t>该指标主要考核消防车采购验收情况。</w:t>
            </w:r>
          </w:p>
          <w:p>
            <w:pPr>
              <w:pStyle w:val="16"/>
            </w:pPr>
            <w:r>
              <w:t>车辆质量合格率=车辆验收合格数量/车辆购置总数量*100%</w:t>
            </w:r>
          </w:p>
        </w:tc>
        <w:tc>
          <w:tcPr>
            <w:tcW w:w="1853" w:type="dxa"/>
            <w:vAlign w:val="center"/>
          </w:tcPr>
          <w:p>
            <w:pPr>
              <w:pStyle w:val="16"/>
            </w:pPr>
            <w:r>
              <w:t>100%</w:t>
            </w:r>
          </w:p>
        </w:tc>
        <w:tc>
          <w:tcPr>
            <w:tcW w:w="2466" w:type="dxa"/>
            <w:vAlign w:val="center"/>
          </w:tcPr>
          <w:p>
            <w:pPr>
              <w:pStyle w:val="16"/>
            </w:pPr>
            <w:r>
              <w:t>符合招标文件、验收文件，</w:t>
            </w:r>
          </w:p>
          <w:p>
            <w:pPr>
              <w:pStyle w:val="16"/>
            </w:pPr>
            <w:r>
              <w:t>视为合格</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消防车辆到位及时性</w:t>
            </w:r>
          </w:p>
        </w:tc>
        <w:tc>
          <w:tcPr>
            <w:tcW w:w="3079" w:type="dxa"/>
            <w:vAlign w:val="center"/>
          </w:tcPr>
          <w:p>
            <w:pPr>
              <w:pStyle w:val="16"/>
            </w:pPr>
            <w:r>
              <w:t>考察消防车辆是否及时到位</w:t>
            </w:r>
          </w:p>
        </w:tc>
        <w:tc>
          <w:tcPr>
            <w:tcW w:w="1853" w:type="dxa"/>
            <w:vAlign w:val="center"/>
          </w:tcPr>
          <w:p>
            <w:pPr>
              <w:pStyle w:val="16"/>
            </w:pPr>
            <w:r>
              <w:t>及时</w:t>
            </w:r>
          </w:p>
        </w:tc>
        <w:tc>
          <w:tcPr>
            <w:tcW w:w="2466" w:type="dxa"/>
            <w:vAlign w:val="center"/>
          </w:tcPr>
          <w:p>
            <w:pPr>
              <w:pStyle w:val="16"/>
            </w:pPr>
            <w:r>
              <w:t>合同</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保持辖区火灾形势稳定</w:t>
            </w:r>
          </w:p>
        </w:tc>
        <w:tc>
          <w:tcPr>
            <w:tcW w:w="3079" w:type="dxa"/>
            <w:vAlign w:val="center"/>
          </w:tcPr>
          <w:p>
            <w:pPr>
              <w:pStyle w:val="16"/>
            </w:pPr>
            <w:r>
              <w:t>该指标主要考核能否维持辖区社会稳定</w:t>
            </w:r>
          </w:p>
        </w:tc>
        <w:tc>
          <w:tcPr>
            <w:tcW w:w="1853" w:type="dxa"/>
            <w:vAlign w:val="center"/>
          </w:tcPr>
          <w:p>
            <w:pPr>
              <w:pStyle w:val="16"/>
            </w:pPr>
            <w:r>
              <w:t>长期</w:t>
            </w:r>
          </w:p>
        </w:tc>
        <w:tc>
          <w:tcPr>
            <w:tcW w:w="2466" w:type="dxa"/>
            <w:vAlign w:val="center"/>
          </w:tcPr>
          <w:p>
            <w:pPr>
              <w:pStyle w:val="16"/>
            </w:pPr>
            <w:r>
              <w:t>社会面火灾形势平稳</w:t>
            </w:r>
          </w:p>
        </w:tc>
      </w:tr>
      <w:tr>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保护人民生命财产安全</w:t>
            </w:r>
          </w:p>
        </w:tc>
        <w:tc>
          <w:tcPr>
            <w:tcW w:w="3079" w:type="dxa"/>
            <w:vAlign w:val="center"/>
          </w:tcPr>
          <w:p>
            <w:pPr>
              <w:pStyle w:val="16"/>
            </w:pPr>
            <w:r>
              <w:t>该指标主要考核项目实施能否保护生命财产安全。</w:t>
            </w:r>
          </w:p>
        </w:tc>
        <w:tc>
          <w:tcPr>
            <w:tcW w:w="1853" w:type="dxa"/>
            <w:vAlign w:val="center"/>
          </w:tcPr>
          <w:p>
            <w:pPr>
              <w:pStyle w:val="16"/>
            </w:pPr>
            <w:r>
              <w:t>有效保障</w:t>
            </w:r>
          </w:p>
        </w:tc>
        <w:tc>
          <w:tcPr>
            <w:tcW w:w="2466" w:type="dxa"/>
            <w:vAlign w:val="center"/>
          </w:tcPr>
          <w:p>
            <w:pPr>
              <w:pStyle w:val="16"/>
            </w:pPr>
            <w:r>
              <w:t>出勤通知、出勤任务记录</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消防队员满意度</w:t>
            </w:r>
          </w:p>
        </w:tc>
        <w:tc>
          <w:tcPr>
            <w:tcW w:w="3079" w:type="dxa"/>
            <w:vAlign w:val="center"/>
          </w:tcPr>
          <w:p>
            <w:pPr>
              <w:pStyle w:val="16"/>
            </w:pPr>
            <w:r>
              <w:t>该指标主要考核消防队员对于所采购消防车辆的满意情况。</w:t>
            </w:r>
          </w:p>
        </w:tc>
        <w:tc>
          <w:tcPr>
            <w:tcW w:w="1853" w:type="dxa"/>
            <w:vAlign w:val="center"/>
          </w:tcPr>
          <w:p>
            <w:pPr>
              <w:pStyle w:val="16"/>
            </w:pPr>
            <w:r>
              <w:t>≥90%</w:t>
            </w:r>
          </w:p>
        </w:tc>
        <w:tc>
          <w:tcPr>
            <w:tcW w:w="2466" w:type="dxa"/>
            <w:vAlign w:val="center"/>
          </w:tcPr>
          <w:p>
            <w:pPr>
              <w:pStyle w:val="16"/>
            </w:pPr>
            <w:r>
              <w:t>90%消防队员认为满意即视为合格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、消防设计审查、验收及备案服务项目绩效目标表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1.正确履职尽责，保障消防设计审查、消防验收、消防验收备案抽查、消防抽查抽测等工作正常开展，确保消防审验工作质量和工作效率，及时消除审验过程中存在的问题隐患。</w:t>
            </w:r>
          </w:p>
          <w:p>
            <w:pPr>
              <w:pStyle w:val="16"/>
            </w:pPr>
            <w:r>
              <w:t>2.正确履职尽责，保障消防设计审查、消防验收、消防验收备案抽查、消防抽查抽测等工作正常开展，确保消防审验工作质量和工作效率，及时消除审验过程中存在的问题隐患。</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消防抽查实际完成率</w:t>
            </w:r>
          </w:p>
        </w:tc>
        <w:tc>
          <w:tcPr>
            <w:tcW w:w="2835" w:type="dxa"/>
            <w:vAlign w:val="center"/>
          </w:tcPr>
          <w:p>
            <w:pPr>
              <w:pStyle w:val="16"/>
            </w:pPr>
            <w:r>
              <w:t>项目实际完成率=（实际产出数/计划产出数）x100%</w:t>
            </w:r>
          </w:p>
        </w:tc>
        <w:tc>
          <w:tcPr>
            <w:tcW w:w="2551" w:type="dxa"/>
            <w:vAlign w:val="center"/>
          </w:tcPr>
          <w:p>
            <w:pPr>
              <w:pStyle w:val="16"/>
            </w:pPr>
            <w:r>
              <w:t>≥90%</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消防审批办结率</w:t>
            </w:r>
          </w:p>
        </w:tc>
        <w:tc>
          <w:tcPr>
            <w:tcW w:w="2835" w:type="dxa"/>
            <w:vAlign w:val="center"/>
          </w:tcPr>
          <w:p>
            <w:pPr>
              <w:pStyle w:val="16"/>
            </w:pPr>
            <w:r>
              <w:t>[办结数量/申请数量]×100%</w:t>
            </w:r>
          </w:p>
        </w:tc>
        <w:tc>
          <w:tcPr>
            <w:tcW w:w="2551" w:type="dxa"/>
            <w:vAlign w:val="center"/>
          </w:tcPr>
          <w:p>
            <w:pPr>
              <w:pStyle w:val="16"/>
            </w:pPr>
            <w:r>
              <w:t>≥90%</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审批及时率</w:t>
            </w:r>
          </w:p>
        </w:tc>
        <w:tc>
          <w:tcPr>
            <w:tcW w:w="2835" w:type="dxa"/>
            <w:vAlign w:val="center"/>
          </w:tcPr>
          <w:p>
            <w:pPr>
              <w:pStyle w:val="16"/>
            </w:pPr>
            <w:r>
              <w:t>[实际完成时间/规定完成时限]×100%</w:t>
            </w:r>
          </w:p>
        </w:tc>
        <w:tc>
          <w:tcPr>
            <w:tcW w:w="2551" w:type="dxa"/>
            <w:vAlign w:val="center"/>
          </w:tcPr>
          <w:p>
            <w:pPr>
              <w:pStyle w:val="16"/>
            </w:pPr>
            <w:r>
              <w:t>100%</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成本控制总价为45万元，超出约定不得分</w:t>
            </w:r>
          </w:p>
        </w:tc>
        <w:tc>
          <w:tcPr>
            <w:tcW w:w="2551" w:type="dxa"/>
            <w:vAlign w:val="center"/>
          </w:tcPr>
          <w:p>
            <w:pPr>
              <w:pStyle w:val="16"/>
            </w:pPr>
            <w:r>
              <w:t>≤45万元</w:t>
            </w:r>
          </w:p>
        </w:tc>
        <w:tc>
          <w:tcPr>
            <w:tcW w:w="2268" w:type="dxa"/>
            <w:vAlign w:val="center"/>
          </w:tcPr>
          <w:p>
            <w:pPr>
              <w:pStyle w:val="16"/>
            </w:pPr>
            <w:r>
              <w:t>根据项目实际情况确定</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保障生命健康安全</w:t>
            </w:r>
          </w:p>
        </w:tc>
        <w:tc>
          <w:tcPr>
            <w:tcW w:w="2835" w:type="dxa"/>
            <w:vAlign w:val="center"/>
          </w:tcPr>
          <w:p>
            <w:pPr>
              <w:pStyle w:val="16"/>
            </w:pPr>
            <w:r>
              <w:t>有效保障地区消防安全</w:t>
            </w:r>
          </w:p>
        </w:tc>
        <w:tc>
          <w:tcPr>
            <w:tcW w:w="2551" w:type="dxa"/>
            <w:vAlign w:val="center"/>
          </w:tcPr>
          <w:p>
            <w:pPr>
              <w:pStyle w:val="16"/>
            </w:pPr>
            <w:r>
              <w:t>有效</w:t>
            </w:r>
          </w:p>
        </w:tc>
        <w:tc>
          <w:tcPr>
            <w:tcW w:w="2268" w:type="dxa"/>
            <w:vAlign w:val="center"/>
          </w:tcPr>
          <w:p>
            <w:pPr>
              <w:pStyle w:val="16"/>
            </w:pPr>
            <w:r>
              <w:t>效果显著</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防止生命财产损失</w:t>
            </w:r>
          </w:p>
        </w:tc>
        <w:tc>
          <w:tcPr>
            <w:tcW w:w="2835" w:type="dxa"/>
            <w:vAlign w:val="center"/>
          </w:tcPr>
          <w:p>
            <w:pPr>
              <w:pStyle w:val="16"/>
            </w:pPr>
            <w:r>
              <w:t>有效防止消防问题带来的生命财产损失</w:t>
            </w:r>
          </w:p>
        </w:tc>
        <w:tc>
          <w:tcPr>
            <w:tcW w:w="2551" w:type="dxa"/>
            <w:vAlign w:val="center"/>
          </w:tcPr>
          <w:p>
            <w:pPr>
              <w:pStyle w:val="16"/>
            </w:pPr>
            <w:r>
              <w:t>有效</w:t>
            </w:r>
          </w:p>
        </w:tc>
        <w:tc>
          <w:tcPr>
            <w:tcW w:w="2268" w:type="dxa"/>
            <w:vAlign w:val="center"/>
          </w:tcPr>
          <w:p>
            <w:pPr>
              <w:pStyle w:val="16"/>
            </w:pPr>
            <w:r>
              <w:t>效果显著</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按规定履行消防审验职责</w:t>
            </w:r>
          </w:p>
        </w:tc>
        <w:tc>
          <w:tcPr>
            <w:tcW w:w="2835" w:type="dxa"/>
            <w:vAlign w:val="center"/>
          </w:tcPr>
          <w:p>
            <w:pPr>
              <w:pStyle w:val="16"/>
            </w:pPr>
            <w:r>
              <w:t>按规定履职尽责，一次告知，提供技术指导。</w:t>
            </w:r>
          </w:p>
        </w:tc>
        <w:tc>
          <w:tcPr>
            <w:tcW w:w="2551" w:type="dxa"/>
            <w:vAlign w:val="center"/>
          </w:tcPr>
          <w:p>
            <w:pPr>
              <w:pStyle w:val="16"/>
            </w:pPr>
            <w:r>
              <w:t>支撑</w:t>
            </w:r>
          </w:p>
        </w:tc>
        <w:tc>
          <w:tcPr>
            <w:tcW w:w="2268" w:type="dxa"/>
            <w:vAlign w:val="center"/>
          </w:tcPr>
          <w:p>
            <w:pPr>
              <w:pStyle w:val="16"/>
            </w:pPr>
            <w:r>
              <w:t>根据项目实际情况确定</w:t>
            </w:r>
          </w:p>
        </w:tc>
      </w:tr>
      <w:tr>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保障城市生态安全</w:t>
            </w:r>
          </w:p>
        </w:tc>
        <w:tc>
          <w:tcPr>
            <w:tcW w:w="2835" w:type="dxa"/>
            <w:vAlign w:val="center"/>
          </w:tcPr>
          <w:p>
            <w:pPr>
              <w:pStyle w:val="16"/>
            </w:pPr>
            <w:r>
              <w:t>防止火灾，保障城市生态安全</w:t>
            </w:r>
          </w:p>
        </w:tc>
        <w:tc>
          <w:tcPr>
            <w:tcW w:w="2551" w:type="dxa"/>
            <w:vAlign w:val="center"/>
          </w:tcPr>
          <w:p>
            <w:pPr>
              <w:pStyle w:val="16"/>
            </w:pPr>
            <w:r>
              <w:t>保障</w:t>
            </w:r>
          </w:p>
        </w:tc>
        <w:tc>
          <w:tcPr>
            <w:tcW w:w="2268" w:type="dxa"/>
            <w:vAlign w:val="center"/>
          </w:tcPr>
          <w:p>
            <w:pPr>
              <w:pStyle w:val="16"/>
            </w:pPr>
            <w:r>
              <w:t>效果显著</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工程建设单位满意度</w:t>
            </w:r>
          </w:p>
        </w:tc>
        <w:tc>
          <w:tcPr>
            <w:tcW w:w="2835" w:type="dxa"/>
            <w:vAlign w:val="center"/>
          </w:tcPr>
          <w:p>
            <w:pPr>
              <w:pStyle w:val="16"/>
            </w:pPr>
            <w:r>
              <w:t>工程建设单位对消防审验工作效率方面的满意度。</w:t>
            </w:r>
          </w:p>
        </w:tc>
        <w:tc>
          <w:tcPr>
            <w:tcW w:w="2551" w:type="dxa"/>
            <w:vAlign w:val="center"/>
          </w:tcPr>
          <w:p>
            <w:pPr>
              <w:pStyle w:val="16"/>
            </w:pPr>
            <w:r>
              <w:t>≥90%</w:t>
            </w:r>
          </w:p>
        </w:tc>
        <w:tc>
          <w:tcPr>
            <w:tcW w:w="2268" w:type="dxa"/>
            <w:vAlign w:val="center"/>
          </w:tcPr>
          <w:p>
            <w:pPr>
              <w:pStyle w:val="16"/>
            </w:pPr>
            <w:r>
              <w:t>根据项目实际情况确定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、消防业务经费项目绩效目标表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公用经费开支用于购买日常办公经费、消防站运维费、消防车辆维护及购买药剂费用等方面，对日常办公提供经费保障，能够确保消防站的正常运行，提升灭火救援处置效能，确保临空经济区消防安全形势稳定，保护域内群众人身、公共财产安全，为临空经济区经济、社会发展创造良好的消防安全环境。</w:t>
            </w:r>
          </w:p>
          <w:p>
            <w:pPr>
              <w:pStyle w:val="16"/>
            </w:pPr>
            <w:r>
              <w:t>2.本项目用于两座消防站的日常基本支出，以保证消防站正常运转，为域内经济建设发展和人民群众生命财产安全提供坚强保障。</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运转经费足额保障</w:t>
            </w:r>
          </w:p>
        </w:tc>
        <w:tc>
          <w:tcPr>
            <w:tcW w:w="2835" w:type="dxa"/>
            <w:vAlign w:val="center"/>
          </w:tcPr>
          <w:p>
            <w:pPr>
              <w:pStyle w:val="16"/>
            </w:pPr>
            <w:r>
              <w:t>完成辖区消防救援工作</w:t>
            </w:r>
          </w:p>
        </w:tc>
        <w:tc>
          <w:tcPr>
            <w:tcW w:w="2551" w:type="dxa"/>
            <w:vAlign w:val="center"/>
          </w:tcPr>
          <w:p>
            <w:pPr>
              <w:pStyle w:val="16"/>
            </w:pPr>
            <w:r>
              <w:t>≤272万元</w:t>
            </w:r>
          </w:p>
        </w:tc>
        <w:tc>
          <w:tcPr>
            <w:tcW w:w="2268" w:type="dxa"/>
            <w:vAlign w:val="center"/>
          </w:tcPr>
          <w:p>
            <w:pPr>
              <w:pStyle w:val="16"/>
            </w:pPr>
            <w:r>
              <w:t>预算文本</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工作开展情况</w:t>
            </w:r>
          </w:p>
        </w:tc>
        <w:tc>
          <w:tcPr>
            <w:tcW w:w="2835" w:type="dxa"/>
            <w:vAlign w:val="center"/>
          </w:tcPr>
          <w:p>
            <w:pPr>
              <w:pStyle w:val="16"/>
            </w:pPr>
            <w:r>
              <w:t>正常开展</w:t>
            </w:r>
          </w:p>
        </w:tc>
        <w:tc>
          <w:tcPr>
            <w:tcW w:w="2551" w:type="dxa"/>
            <w:vAlign w:val="center"/>
          </w:tcPr>
          <w:p>
            <w:pPr>
              <w:pStyle w:val="16"/>
            </w:pPr>
            <w:r>
              <w:t>≥90%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2835" w:type="dxa"/>
            <w:vAlign w:val="center"/>
          </w:tcPr>
          <w:p>
            <w:pPr>
              <w:pStyle w:val="16"/>
            </w:pPr>
            <w:r>
              <w:t>年度工作完成情况</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考察实际支出与预算的偏离程度</w:t>
            </w:r>
          </w:p>
        </w:tc>
        <w:tc>
          <w:tcPr>
            <w:tcW w:w="2551" w:type="dxa"/>
            <w:vAlign w:val="center"/>
          </w:tcPr>
          <w:p>
            <w:pPr>
              <w:pStyle w:val="16"/>
            </w:pPr>
            <w:r>
              <w:t>≤272万元</w:t>
            </w:r>
          </w:p>
        </w:tc>
        <w:tc>
          <w:tcPr>
            <w:tcW w:w="2268" w:type="dxa"/>
            <w:vAlign w:val="center"/>
          </w:tcPr>
          <w:p>
            <w:pPr>
              <w:pStyle w:val="16"/>
            </w:pPr>
            <w:r>
              <w:t>实际支出票据</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保持辖区火灾形势稳定</w:t>
            </w:r>
          </w:p>
        </w:tc>
        <w:tc>
          <w:tcPr>
            <w:tcW w:w="2835" w:type="dxa"/>
            <w:vAlign w:val="center"/>
          </w:tcPr>
          <w:p>
            <w:pPr>
              <w:pStyle w:val="16"/>
            </w:pPr>
            <w:r>
              <w:t>该指标主要维持辖区社会稳定</w:t>
            </w:r>
          </w:p>
        </w:tc>
        <w:tc>
          <w:tcPr>
            <w:tcW w:w="2551" w:type="dxa"/>
            <w:vAlign w:val="center"/>
          </w:tcPr>
          <w:p>
            <w:pPr>
              <w:pStyle w:val="16"/>
            </w:pPr>
            <w:r>
              <w:t>长期</w:t>
            </w:r>
          </w:p>
        </w:tc>
        <w:tc>
          <w:tcPr>
            <w:tcW w:w="2268" w:type="dxa"/>
            <w:vAlign w:val="center"/>
          </w:tcPr>
          <w:p>
            <w:pPr>
              <w:pStyle w:val="16"/>
            </w:pPr>
            <w:r>
              <w:t>社会面火灾形势平稳</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保障灭火救援工作</w:t>
            </w:r>
          </w:p>
        </w:tc>
        <w:tc>
          <w:tcPr>
            <w:tcW w:w="2835" w:type="dxa"/>
            <w:vAlign w:val="center"/>
          </w:tcPr>
          <w:p>
            <w:pPr>
              <w:pStyle w:val="16"/>
            </w:pPr>
            <w:r>
              <w:t>该指标主要考核消防站能否正常运行。</w:t>
            </w:r>
          </w:p>
        </w:tc>
        <w:tc>
          <w:tcPr>
            <w:tcW w:w="2551" w:type="dxa"/>
            <w:vAlign w:val="center"/>
          </w:tcPr>
          <w:p>
            <w:pPr>
              <w:pStyle w:val="16"/>
            </w:pPr>
            <w:r>
              <w:t>有效保障</w:t>
            </w:r>
          </w:p>
        </w:tc>
        <w:tc>
          <w:tcPr>
            <w:tcW w:w="2268" w:type="dxa"/>
            <w:vAlign w:val="center"/>
          </w:tcPr>
          <w:p>
            <w:pPr>
              <w:pStyle w:val="16"/>
            </w:pPr>
            <w:r>
              <w:t>出警记录单等</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消防队员满意度</w:t>
            </w:r>
          </w:p>
        </w:tc>
        <w:tc>
          <w:tcPr>
            <w:tcW w:w="2835" w:type="dxa"/>
            <w:vAlign w:val="center"/>
          </w:tcPr>
          <w:p>
            <w:pPr>
              <w:pStyle w:val="16"/>
            </w:pPr>
            <w:r>
              <w:t>考察消防队员满意情况</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、消防站开办费项目绩效目标表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1.提升灭火救援处置效能，确保临空经济区消防安全形势稳定，保护域内群众人身、公共财产安全，为临空经济区经济、社会发展创造良好的消防安全环境。</w:t>
            </w:r>
          </w:p>
          <w:p>
            <w:pPr>
              <w:pStyle w:val="16"/>
            </w:pPr>
            <w:r>
              <w:t>2.通过保质保量按时购置办公家具、电器设备、厨房设备、体能训练设备等，确保第一、二消防站建成后具备必要的办公、训练及基本生活条件，为灭火救援实战工作提供坚实基础，为域内经济建设发展和人民群众生命财产安全提供坚强保障。</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设备采购完成率</w:t>
            </w:r>
          </w:p>
        </w:tc>
        <w:tc>
          <w:tcPr>
            <w:tcW w:w="2835" w:type="dxa"/>
            <w:vAlign w:val="center"/>
          </w:tcPr>
          <w:p>
            <w:pPr>
              <w:pStyle w:val="16"/>
            </w:pPr>
            <w:r>
              <w:t>该指标主要考核为第一、二消防站购置设备的数量情况。</w:t>
            </w:r>
          </w:p>
        </w:tc>
        <w:tc>
          <w:tcPr>
            <w:tcW w:w="2551" w:type="dxa"/>
            <w:vAlign w:val="center"/>
          </w:tcPr>
          <w:p>
            <w:pPr>
              <w:pStyle w:val="16"/>
            </w:pPr>
            <w:r>
              <w:t>100%</w:t>
            </w:r>
          </w:p>
        </w:tc>
        <w:tc>
          <w:tcPr>
            <w:tcW w:w="2268" w:type="dxa"/>
            <w:vAlign w:val="center"/>
          </w:tcPr>
          <w:p>
            <w:pPr>
              <w:pStyle w:val="16"/>
            </w:pPr>
            <w:r>
              <w:t>招标文件，采购合同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设备验收合格率</w:t>
            </w:r>
          </w:p>
        </w:tc>
        <w:tc>
          <w:tcPr>
            <w:tcW w:w="2835" w:type="dxa"/>
            <w:vAlign w:val="center"/>
          </w:tcPr>
          <w:p>
            <w:pPr>
              <w:pStyle w:val="16"/>
            </w:pPr>
            <w:r>
              <w:t>该指标主要考核相关设备采购验收是否合格，质量是否达标。</w:t>
            </w:r>
          </w:p>
        </w:tc>
        <w:tc>
          <w:tcPr>
            <w:tcW w:w="2551" w:type="dxa"/>
            <w:vAlign w:val="center"/>
          </w:tcPr>
          <w:p>
            <w:pPr>
              <w:pStyle w:val="16"/>
            </w:pPr>
            <w:r>
              <w:t>100%</w:t>
            </w:r>
          </w:p>
        </w:tc>
        <w:tc>
          <w:tcPr>
            <w:tcW w:w="2268" w:type="dxa"/>
            <w:vAlign w:val="center"/>
          </w:tcPr>
          <w:p>
            <w:pPr>
              <w:pStyle w:val="16"/>
            </w:pPr>
            <w:r>
              <w:t>采购合同，验收文件</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该指标主要考核项目实际支出是否控制在预算金额内。</w:t>
            </w:r>
          </w:p>
        </w:tc>
        <w:tc>
          <w:tcPr>
            <w:tcW w:w="2551" w:type="dxa"/>
            <w:vAlign w:val="center"/>
          </w:tcPr>
          <w:p>
            <w:pPr>
              <w:pStyle w:val="16"/>
            </w:pPr>
            <w:r>
              <w:t>≤307.02万元</w:t>
            </w:r>
          </w:p>
        </w:tc>
        <w:tc>
          <w:tcPr>
            <w:tcW w:w="2268" w:type="dxa"/>
            <w:vAlign w:val="center"/>
          </w:tcPr>
          <w:p>
            <w:pPr>
              <w:pStyle w:val="16"/>
            </w:pPr>
            <w:r>
              <w:t>询价资料、预算文本</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配套设施到位及时性</w:t>
            </w:r>
          </w:p>
        </w:tc>
        <w:tc>
          <w:tcPr>
            <w:tcW w:w="2835" w:type="dxa"/>
            <w:vAlign w:val="center"/>
          </w:tcPr>
          <w:p>
            <w:pPr>
              <w:pStyle w:val="16"/>
            </w:pPr>
            <w:r>
              <w:t>考察办公等配套设施购置工作完成及时情况</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保持消防站正常运转</w:t>
            </w:r>
          </w:p>
        </w:tc>
        <w:tc>
          <w:tcPr>
            <w:tcW w:w="2835" w:type="dxa"/>
            <w:vAlign w:val="center"/>
          </w:tcPr>
          <w:p>
            <w:pPr>
              <w:pStyle w:val="16"/>
            </w:pPr>
            <w:r>
              <w:t>该指标主要考核消防站投入使用后能够正常运行情况</w:t>
            </w:r>
          </w:p>
        </w:tc>
        <w:tc>
          <w:tcPr>
            <w:tcW w:w="2551" w:type="dxa"/>
            <w:vAlign w:val="center"/>
          </w:tcPr>
          <w:p>
            <w:pPr>
              <w:pStyle w:val="16"/>
            </w:pPr>
            <w:r>
              <w:t>长期</w:t>
            </w:r>
          </w:p>
        </w:tc>
        <w:tc>
          <w:tcPr>
            <w:tcW w:w="2268" w:type="dxa"/>
            <w:vAlign w:val="center"/>
          </w:tcPr>
          <w:p>
            <w:pPr>
              <w:pStyle w:val="16"/>
            </w:pPr>
            <w:r>
              <w:t>实际工作情况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保障灭火救援工作</w:t>
            </w:r>
          </w:p>
        </w:tc>
        <w:tc>
          <w:tcPr>
            <w:tcW w:w="2835" w:type="dxa"/>
            <w:vAlign w:val="center"/>
          </w:tcPr>
          <w:p>
            <w:pPr>
              <w:pStyle w:val="16"/>
            </w:pPr>
            <w:r>
              <w:t>该指标主要考核项目实施能否满足第一、二消防站灭火救援工作需求。</w:t>
            </w:r>
          </w:p>
        </w:tc>
        <w:tc>
          <w:tcPr>
            <w:tcW w:w="2551" w:type="dxa"/>
            <w:vAlign w:val="center"/>
          </w:tcPr>
          <w:p>
            <w:pPr>
              <w:pStyle w:val="16"/>
            </w:pPr>
            <w:r>
              <w:t>有效保障</w:t>
            </w:r>
          </w:p>
        </w:tc>
        <w:tc>
          <w:tcPr>
            <w:tcW w:w="2268" w:type="dxa"/>
            <w:vAlign w:val="center"/>
          </w:tcPr>
          <w:p>
            <w:pPr>
              <w:pStyle w:val="16"/>
            </w:pPr>
            <w:r>
              <w:t>出勤通知、出勤任务记录</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消防队员满意度</w:t>
            </w:r>
          </w:p>
        </w:tc>
        <w:tc>
          <w:tcPr>
            <w:tcW w:w="2835" w:type="dxa"/>
            <w:vAlign w:val="center"/>
          </w:tcPr>
          <w:p>
            <w:pPr>
              <w:pStyle w:val="16"/>
            </w:pPr>
            <w:r>
              <w:t>该指标主要考核消防队员对于所采购消防车辆的满意情况。</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09</w:t>
      </w:r>
      <w:r>
        <w:rPr>
          <w:rFonts w:ascii="方正仿宋_GBK" w:hAnsi="方正仿宋_GBK" w:eastAsia="方正仿宋_GBK" w:cs="方正仿宋_GBK"/>
          <w:b/>
          <w:color w:val="000000"/>
          <w:sz w:val="28"/>
        </w:rPr>
        <w:t>、消防站营区正规化建设项目绩效目标表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1.推进消防救援队伍正规化建设，树立队伍良好形象，提升消防救援站辨识度和观感度，也更好地服务大局、服务群众、服务社会。</w:t>
            </w:r>
          </w:p>
          <w:p>
            <w:pPr>
              <w:pStyle w:val="16"/>
            </w:pPr>
            <w:r>
              <w:t>2.按照上级要求，统一规范标识样式，全面提升消防救援站辨识度和观感度。</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69"/>
        <w:gridCol w:w="2163"/>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769" w:type="dxa"/>
            <w:vAlign w:val="center"/>
          </w:tcPr>
          <w:p>
            <w:pPr>
              <w:pStyle w:val="14"/>
            </w:pPr>
            <w:r>
              <w:t>绩效指标描述</w:t>
            </w:r>
          </w:p>
        </w:tc>
        <w:tc>
          <w:tcPr>
            <w:tcW w:w="2163"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标识及广告字</w:t>
            </w:r>
          </w:p>
          <w:p>
            <w:pPr>
              <w:pStyle w:val="16"/>
            </w:pPr>
            <w:r>
              <w:t>制作完成率</w:t>
            </w:r>
          </w:p>
        </w:tc>
        <w:tc>
          <w:tcPr>
            <w:tcW w:w="2769" w:type="dxa"/>
            <w:vAlign w:val="center"/>
          </w:tcPr>
          <w:p>
            <w:pPr>
              <w:pStyle w:val="16"/>
            </w:pPr>
            <w:r>
              <w:t>该指标主要考核为第一、二消防站标识和广告字制作完成情况。</w:t>
            </w:r>
          </w:p>
          <w:p>
            <w:pPr>
              <w:pStyle w:val="16"/>
            </w:pPr>
            <w:r>
              <w:t>制作完成率=实际到位数量/采购数量*100%</w:t>
            </w:r>
          </w:p>
        </w:tc>
        <w:tc>
          <w:tcPr>
            <w:tcW w:w="2163" w:type="dxa"/>
            <w:vAlign w:val="center"/>
          </w:tcPr>
          <w:p>
            <w:pPr>
              <w:pStyle w:val="16"/>
            </w:pPr>
            <w:r>
              <w:t>100%</w:t>
            </w:r>
          </w:p>
        </w:tc>
        <w:tc>
          <w:tcPr>
            <w:tcW w:w="2466" w:type="dxa"/>
            <w:vAlign w:val="center"/>
          </w:tcPr>
          <w:p>
            <w:pPr>
              <w:pStyle w:val="16"/>
            </w:pPr>
            <w:r>
              <w:t>限价文件、合同等</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w:t>
            </w:r>
          </w:p>
        </w:tc>
        <w:tc>
          <w:tcPr>
            <w:tcW w:w="2769" w:type="dxa"/>
            <w:vAlign w:val="center"/>
          </w:tcPr>
          <w:p>
            <w:pPr>
              <w:pStyle w:val="16"/>
            </w:pPr>
            <w:r>
              <w:t>该指标主要考核项目实际支出是否控制在预算金额内。</w:t>
            </w:r>
          </w:p>
        </w:tc>
        <w:tc>
          <w:tcPr>
            <w:tcW w:w="2163" w:type="dxa"/>
            <w:vAlign w:val="center"/>
          </w:tcPr>
          <w:p>
            <w:pPr>
              <w:pStyle w:val="16"/>
            </w:pPr>
            <w:r>
              <w:t>≤17.48万元</w:t>
            </w:r>
          </w:p>
        </w:tc>
        <w:tc>
          <w:tcPr>
            <w:tcW w:w="2466" w:type="dxa"/>
            <w:vAlign w:val="center"/>
          </w:tcPr>
          <w:p>
            <w:pPr>
              <w:pStyle w:val="16"/>
            </w:pPr>
            <w:r>
              <w:t>询价资料、预算文本</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标识及广告字</w:t>
            </w:r>
          </w:p>
          <w:p>
            <w:pPr>
              <w:pStyle w:val="16"/>
            </w:pPr>
            <w:r>
              <w:t>制作合格率</w:t>
            </w:r>
          </w:p>
        </w:tc>
        <w:tc>
          <w:tcPr>
            <w:tcW w:w="2769" w:type="dxa"/>
            <w:vAlign w:val="center"/>
          </w:tcPr>
          <w:p>
            <w:pPr>
              <w:pStyle w:val="16"/>
            </w:pPr>
            <w:r>
              <w:t>该指标主要考核为第一、二消防站标识和广告字制作采购验收情况。</w:t>
            </w:r>
          </w:p>
        </w:tc>
        <w:tc>
          <w:tcPr>
            <w:tcW w:w="2163" w:type="dxa"/>
            <w:vAlign w:val="center"/>
          </w:tcPr>
          <w:p>
            <w:pPr>
              <w:pStyle w:val="16"/>
            </w:pPr>
            <w:r>
              <w:t>100%</w:t>
            </w:r>
          </w:p>
        </w:tc>
        <w:tc>
          <w:tcPr>
            <w:tcW w:w="2466" w:type="dxa"/>
            <w:vAlign w:val="center"/>
          </w:tcPr>
          <w:p>
            <w:pPr>
              <w:pStyle w:val="16"/>
            </w:pPr>
            <w:r>
              <w:t>合同、验收单</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标识及广告字</w:t>
            </w:r>
          </w:p>
          <w:p>
            <w:pPr>
              <w:pStyle w:val="16"/>
            </w:pPr>
            <w:r>
              <w:t>制作到位及时性</w:t>
            </w:r>
          </w:p>
        </w:tc>
        <w:tc>
          <w:tcPr>
            <w:tcW w:w="2769" w:type="dxa"/>
            <w:vAlign w:val="center"/>
          </w:tcPr>
          <w:p>
            <w:pPr>
              <w:pStyle w:val="16"/>
            </w:pPr>
            <w:r>
              <w:t>考察标识及广告字</w:t>
            </w:r>
          </w:p>
          <w:p>
            <w:pPr>
              <w:pStyle w:val="16"/>
            </w:pPr>
            <w:r>
              <w:t>制作是否在合同期限内完成</w:t>
            </w:r>
          </w:p>
        </w:tc>
        <w:tc>
          <w:tcPr>
            <w:tcW w:w="2163" w:type="dxa"/>
            <w:vAlign w:val="center"/>
          </w:tcPr>
          <w:p>
            <w:pPr>
              <w:pStyle w:val="16"/>
            </w:pPr>
            <w:r>
              <w:t>及时</w:t>
            </w:r>
          </w:p>
        </w:tc>
        <w:tc>
          <w:tcPr>
            <w:tcW w:w="2466" w:type="dxa"/>
            <w:vAlign w:val="center"/>
          </w:tcPr>
          <w:p>
            <w:pPr>
              <w:pStyle w:val="16"/>
            </w:pPr>
            <w:r>
              <w:t>合同</w:t>
            </w:r>
          </w:p>
        </w:tc>
      </w:tr>
      <w:tr>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标识及广告字</w:t>
            </w:r>
          </w:p>
          <w:p>
            <w:pPr>
              <w:pStyle w:val="16"/>
            </w:pPr>
            <w:r>
              <w:t>制作应用效果</w:t>
            </w:r>
          </w:p>
        </w:tc>
        <w:tc>
          <w:tcPr>
            <w:tcW w:w="2769" w:type="dxa"/>
            <w:vAlign w:val="center"/>
          </w:tcPr>
          <w:p>
            <w:pPr>
              <w:pStyle w:val="16"/>
            </w:pPr>
            <w:r>
              <w:t>该指标主要考核应用后能否能够提升消防站辨识度和观感度</w:t>
            </w:r>
          </w:p>
        </w:tc>
        <w:tc>
          <w:tcPr>
            <w:tcW w:w="2163" w:type="dxa"/>
            <w:vAlign w:val="center"/>
          </w:tcPr>
          <w:p>
            <w:pPr>
              <w:pStyle w:val="16"/>
            </w:pPr>
            <w:r>
              <w:t>显著提升</w:t>
            </w:r>
          </w:p>
        </w:tc>
        <w:tc>
          <w:tcPr>
            <w:tcW w:w="2466" w:type="dxa"/>
            <w:vAlign w:val="center"/>
          </w:tcPr>
          <w:p>
            <w:pPr>
              <w:pStyle w:val="16"/>
            </w:pPr>
            <w:r>
              <w:t>消防站运行状况</w:t>
            </w:r>
          </w:p>
        </w:tc>
      </w:tr>
      <w:tr>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消防队员满意度</w:t>
            </w:r>
          </w:p>
        </w:tc>
        <w:tc>
          <w:tcPr>
            <w:tcW w:w="2769" w:type="dxa"/>
            <w:vAlign w:val="center"/>
          </w:tcPr>
          <w:p>
            <w:pPr>
              <w:pStyle w:val="16"/>
            </w:pPr>
            <w:r>
              <w:t>该指标主要考核消防队员对于所采购消防车辆的满意情况。</w:t>
            </w:r>
          </w:p>
        </w:tc>
        <w:tc>
          <w:tcPr>
            <w:tcW w:w="2163"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、新办企业印章刻制经费绩效目标表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1.通过项目的开展，深入落实省委、省政府“三创四建”活动部署，加快企业开办速度，实现全省企业开办一日办结，构建优质高效服务市场主体的政务环境，助力一流营商环境建设。</w:t>
            </w:r>
          </w:p>
          <w:p>
            <w:pPr>
              <w:pStyle w:val="16"/>
            </w:pPr>
            <w:r>
              <w:t>2.通过项目的开展预计发放2000套公章，验收合格率达到100%，成本控制在预算范围内，提高政务服务水平，降低企业开办成本，促进企业开办一日办结，营造一流营商环境。</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刻章数量</w:t>
            </w:r>
          </w:p>
        </w:tc>
        <w:tc>
          <w:tcPr>
            <w:tcW w:w="2835" w:type="dxa"/>
            <w:vAlign w:val="center"/>
          </w:tcPr>
          <w:p>
            <w:pPr>
              <w:pStyle w:val="16"/>
            </w:pPr>
            <w:r>
              <w:t>公章、财务章、法人章面向企业发放数量</w:t>
            </w:r>
          </w:p>
        </w:tc>
        <w:tc>
          <w:tcPr>
            <w:tcW w:w="2551" w:type="dxa"/>
            <w:vAlign w:val="center"/>
          </w:tcPr>
          <w:p>
            <w:pPr>
              <w:pStyle w:val="16"/>
            </w:pPr>
            <w:r>
              <w:t>≥2000套</w:t>
            </w:r>
          </w:p>
        </w:tc>
        <w:tc>
          <w:tcPr>
            <w:tcW w:w="2268" w:type="dxa"/>
            <w:vAlign w:val="center"/>
          </w:tcPr>
          <w:p>
            <w:pPr>
              <w:pStyle w:val="16"/>
            </w:pPr>
            <w:r>
              <w:t>单位标准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刻章成品验收合格率</w:t>
            </w:r>
          </w:p>
        </w:tc>
        <w:tc>
          <w:tcPr>
            <w:tcW w:w="2835" w:type="dxa"/>
            <w:vAlign w:val="center"/>
          </w:tcPr>
          <w:p>
            <w:pPr>
              <w:pStyle w:val="16"/>
            </w:pPr>
            <w:r>
              <w:t>公章、财务章、法人章制作质量合格数量/刻制总数量*100%</w:t>
            </w:r>
          </w:p>
        </w:tc>
        <w:tc>
          <w:tcPr>
            <w:tcW w:w="2551" w:type="dxa"/>
            <w:vAlign w:val="center"/>
          </w:tcPr>
          <w:p>
            <w:pPr>
              <w:pStyle w:val="16"/>
            </w:pPr>
            <w:r>
              <w:t>100%</w:t>
            </w:r>
          </w:p>
        </w:tc>
        <w:tc>
          <w:tcPr>
            <w:tcW w:w="2268" w:type="dxa"/>
            <w:vAlign w:val="center"/>
          </w:tcPr>
          <w:p>
            <w:pPr>
              <w:pStyle w:val="16"/>
            </w:pPr>
            <w:r>
              <w:t>行业标准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刻制印章及时性</w:t>
            </w:r>
          </w:p>
        </w:tc>
        <w:tc>
          <w:tcPr>
            <w:tcW w:w="2835" w:type="dxa"/>
            <w:vAlign w:val="center"/>
          </w:tcPr>
          <w:p>
            <w:pPr>
              <w:pStyle w:val="16"/>
            </w:pPr>
            <w:r>
              <w:t>考察刻制印章及时情况</w:t>
            </w:r>
          </w:p>
        </w:tc>
        <w:tc>
          <w:tcPr>
            <w:tcW w:w="2551" w:type="dxa"/>
            <w:vAlign w:val="center"/>
          </w:tcPr>
          <w:p>
            <w:pPr>
              <w:pStyle w:val="16"/>
            </w:pPr>
            <w:r>
              <w:t>≤4小时</w:t>
            </w:r>
          </w:p>
        </w:tc>
        <w:tc>
          <w:tcPr>
            <w:tcW w:w="2268" w:type="dxa"/>
            <w:vAlign w:val="center"/>
          </w:tcPr>
          <w:p>
            <w:pPr>
              <w:pStyle w:val="16"/>
            </w:pPr>
            <w:r>
              <w:t>文件要求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企业刻制印章及邮寄费总成本</w:t>
            </w:r>
          </w:p>
        </w:tc>
        <w:tc>
          <w:tcPr>
            <w:tcW w:w="2835" w:type="dxa"/>
            <w:vAlign w:val="center"/>
          </w:tcPr>
          <w:p>
            <w:pPr>
              <w:pStyle w:val="16"/>
            </w:pPr>
            <w:r>
              <w:t>企业刻制印章及邮寄费总成本控制情况</w:t>
            </w:r>
          </w:p>
        </w:tc>
        <w:tc>
          <w:tcPr>
            <w:tcW w:w="2551" w:type="dxa"/>
            <w:vAlign w:val="center"/>
          </w:tcPr>
          <w:p>
            <w:pPr>
              <w:pStyle w:val="16"/>
            </w:pPr>
            <w:r>
              <w:t>≤59万元</w:t>
            </w:r>
          </w:p>
        </w:tc>
        <w:tc>
          <w:tcPr>
            <w:tcW w:w="2268" w:type="dxa"/>
            <w:vAlign w:val="center"/>
          </w:tcPr>
          <w:p>
            <w:pPr>
              <w:pStyle w:val="16"/>
            </w:pPr>
            <w:r>
              <w:t>合同要求</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企业刻制印章及邮寄费平均成本</w:t>
            </w:r>
          </w:p>
        </w:tc>
        <w:tc>
          <w:tcPr>
            <w:tcW w:w="2835" w:type="dxa"/>
            <w:vAlign w:val="center"/>
          </w:tcPr>
          <w:p>
            <w:pPr>
              <w:pStyle w:val="16"/>
            </w:pPr>
            <w:r>
              <w:t>考察企业刻制印章及邮寄费平均成本</w:t>
            </w:r>
          </w:p>
        </w:tc>
        <w:tc>
          <w:tcPr>
            <w:tcW w:w="2551" w:type="dxa"/>
            <w:vAlign w:val="center"/>
          </w:tcPr>
          <w:p>
            <w:pPr>
              <w:pStyle w:val="16"/>
            </w:pPr>
            <w:r>
              <w:t>≤295元</w:t>
            </w:r>
          </w:p>
        </w:tc>
        <w:tc>
          <w:tcPr>
            <w:tcW w:w="2268" w:type="dxa"/>
            <w:vAlign w:val="center"/>
          </w:tcPr>
          <w:p>
            <w:pPr>
              <w:pStyle w:val="16"/>
            </w:pPr>
            <w:r>
              <w:t>合同要求</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提高政务服务水平</w:t>
            </w:r>
          </w:p>
        </w:tc>
        <w:tc>
          <w:tcPr>
            <w:tcW w:w="2835" w:type="dxa"/>
            <w:vAlign w:val="center"/>
          </w:tcPr>
          <w:p>
            <w:pPr>
              <w:pStyle w:val="16"/>
            </w:pPr>
            <w:r>
              <w:t>降低开办企业成本，改善营商环境</w:t>
            </w:r>
          </w:p>
        </w:tc>
        <w:tc>
          <w:tcPr>
            <w:tcW w:w="2551" w:type="dxa"/>
            <w:vAlign w:val="center"/>
          </w:tcPr>
          <w:p>
            <w:pPr>
              <w:pStyle w:val="16"/>
            </w:pPr>
            <w:r>
              <w:t>提高</w:t>
            </w:r>
          </w:p>
        </w:tc>
        <w:tc>
          <w:tcPr>
            <w:tcW w:w="2268" w:type="dxa"/>
            <w:vAlign w:val="center"/>
          </w:tcPr>
          <w:p>
            <w:pPr>
              <w:pStyle w:val="16"/>
            </w:pPr>
            <w:r>
              <w:t>公共服务局经验确定</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企业满意数量/抽样调查企业数量*100%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、新航社区卫生院开办费绩效目标表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1.为综合保税区及周边区域人员提供常态化核酸检测、基本医疗、健康体检、基本公卫及疫情防控服务，提升公共服务水平。</w:t>
            </w:r>
          </w:p>
          <w:p>
            <w:pPr>
              <w:pStyle w:val="16"/>
            </w:pPr>
            <w:r>
              <w:t>2.规划建设一所社区卫生服务中心及一所卫生服务站，解决辖区就医及疫情防控等问题，按照政策要求配备办公用房、医疗设备、救治床位及医护人员。</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卫生院租赁用房面积</w:t>
            </w:r>
          </w:p>
        </w:tc>
        <w:tc>
          <w:tcPr>
            <w:tcW w:w="2835" w:type="dxa"/>
            <w:vAlign w:val="center"/>
          </w:tcPr>
          <w:p>
            <w:pPr>
              <w:pStyle w:val="16"/>
            </w:pPr>
            <w:r>
              <w:t>卫生院租赁用房平米数</w:t>
            </w:r>
          </w:p>
        </w:tc>
        <w:tc>
          <w:tcPr>
            <w:tcW w:w="2551" w:type="dxa"/>
            <w:vAlign w:val="center"/>
          </w:tcPr>
          <w:p>
            <w:pPr>
              <w:pStyle w:val="16"/>
            </w:pPr>
            <w:r>
              <w:t>≥1089.48平方米</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卫生院装修面积</w:t>
            </w:r>
          </w:p>
        </w:tc>
        <w:tc>
          <w:tcPr>
            <w:tcW w:w="2835" w:type="dxa"/>
            <w:vAlign w:val="center"/>
          </w:tcPr>
          <w:p>
            <w:pPr>
              <w:pStyle w:val="16"/>
            </w:pPr>
            <w:r>
              <w:t>卫生院装修面积平米数</w:t>
            </w:r>
          </w:p>
        </w:tc>
        <w:tc>
          <w:tcPr>
            <w:tcW w:w="2551" w:type="dxa"/>
            <w:vAlign w:val="center"/>
          </w:tcPr>
          <w:p>
            <w:pPr>
              <w:pStyle w:val="16"/>
            </w:pPr>
            <w:r>
              <w:t>≥1392.38平方米</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设备验收合格率</w:t>
            </w:r>
          </w:p>
        </w:tc>
        <w:tc>
          <w:tcPr>
            <w:tcW w:w="2835" w:type="dxa"/>
            <w:vAlign w:val="center"/>
          </w:tcPr>
          <w:p>
            <w:pPr>
              <w:pStyle w:val="16"/>
            </w:pPr>
            <w:r>
              <w:t>验收合格设备数/购置设备数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开办及时性</w:t>
            </w:r>
          </w:p>
        </w:tc>
        <w:tc>
          <w:tcPr>
            <w:tcW w:w="2835" w:type="dxa"/>
            <w:vAlign w:val="center"/>
          </w:tcPr>
          <w:p>
            <w:pPr>
              <w:pStyle w:val="16"/>
            </w:pPr>
            <w:r>
              <w:t>卫生院于23年及时开办。</w:t>
            </w:r>
          </w:p>
        </w:tc>
        <w:tc>
          <w:tcPr>
            <w:tcW w:w="2551" w:type="dxa"/>
            <w:vAlign w:val="center"/>
          </w:tcPr>
          <w:p>
            <w:pPr>
              <w:pStyle w:val="16"/>
            </w:pPr>
            <w:r>
              <w:t>及时</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设备采购费</w:t>
            </w:r>
          </w:p>
        </w:tc>
        <w:tc>
          <w:tcPr>
            <w:tcW w:w="2835" w:type="dxa"/>
            <w:vAlign w:val="center"/>
          </w:tcPr>
          <w:p>
            <w:pPr>
              <w:pStyle w:val="16"/>
            </w:pPr>
            <w:r>
              <w:t>卫生院设备配备所需费用</w:t>
            </w:r>
          </w:p>
        </w:tc>
        <w:tc>
          <w:tcPr>
            <w:tcW w:w="2551" w:type="dxa"/>
            <w:vAlign w:val="center"/>
          </w:tcPr>
          <w:p>
            <w:pPr>
              <w:pStyle w:val="16"/>
            </w:pPr>
            <w:r>
              <w:t>≤115.22万元</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装修费用单价</w:t>
            </w:r>
          </w:p>
        </w:tc>
        <w:tc>
          <w:tcPr>
            <w:tcW w:w="2835" w:type="dxa"/>
            <w:vAlign w:val="center"/>
          </w:tcPr>
          <w:p>
            <w:pPr>
              <w:pStyle w:val="16"/>
            </w:pPr>
            <w:r>
              <w:t>每平米装修费用</w:t>
            </w:r>
          </w:p>
        </w:tc>
        <w:tc>
          <w:tcPr>
            <w:tcW w:w="2551" w:type="dxa"/>
            <w:vAlign w:val="center"/>
          </w:tcPr>
          <w:p>
            <w:pPr>
              <w:pStyle w:val="16"/>
            </w:pPr>
            <w:r>
              <w:t>≤1600元</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房租单价</w:t>
            </w:r>
          </w:p>
        </w:tc>
        <w:tc>
          <w:tcPr>
            <w:tcW w:w="2835" w:type="dxa"/>
            <w:vAlign w:val="center"/>
          </w:tcPr>
          <w:p>
            <w:pPr>
              <w:pStyle w:val="16"/>
            </w:pPr>
            <w:r>
              <w:t>每天每平米房屋租赁费</w:t>
            </w:r>
          </w:p>
        </w:tc>
        <w:tc>
          <w:tcPr>
            <w:tcW w:w="2551" w:type="dxa"/>
            <w:vAlign w:val="center"/>
          </w:tcPr>
          <w:p>
            <w:pPr>
              <w:pStyle w:val="16"/>
            </w:pPr>
            <w:r>
              <w:t>≤1元</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解决周边区域群众就医需求</w:t>
            </w:r>
          </w:p>
        </w:tc>
        <w:tc>
          <w:tcPr>
            <w:tcW w:w="2835" w:type="dxa"/>
            <w:vAlign w:val="center"/>
          </w:tcPr>
          <w:p>
            <w:pPr>
              <w:pStyle w:val="16"/>
            </w:pPr>
            <w:r>
              <w:t>解决群众疫苗接种、基本医疗、紧急就医等需求</w:t>
            </w:r>
          </w:p>
        </w:tc>
        <w:tc>
          <w:tcPr>
            <w:tcW w:w="2551" w:type="dxa"/>
            <w:vAlign w:val="center"/>
          </w:tcPr>
          <w:p>
            <w:pPr>
              <w:pStyle w:val="16"/>
            </w:pPr>
            <w:r>
              <w:t>解决</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周边区域群众满意度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、新航幼儿园开办经费绩效目标表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1.加快临空经济区配套公务设施建设，解决幼儿园正常运转、师生在校安全、教师培训等问题。提升经济区的经济发展软实力，进一步优化营商环境，能明显提高社会效率。</w:t>
            </w:r>
          </w:p>
          <w:p>
            <w:pPr>
              <w:pStyle w:val="16"/>
            </w:pPr>
            <w:r>
              <w:t>2.通过开展幼儿园教师培训、基础设施建设、聘请保安、保洁等物业劳务人员，保证幼儿园日常办公需要，确保幼儿园正常运转。</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教师培训次数</w:t>
            </w:r>
          </w:p>
        </w:tc>
        <w:tc>
          <w:tcPr>
            <w:tcW w:w="2835" w:type="dxa"/>
            <w:vAlign w:val="center"/>
          </w:tcPr>
          <w:p>
            <w:pPr>
              <w:pStyle w:val="16"/>
            </w:pPr>
            <w:r>
              <w:t>开展幼儿园教师培训的次数</w:t>
            </w:r>
          </w:p>
        </w:tc>
        <w:tc>
          <w:tcPr>
            <w:tcW w:w="2551" w:type="dxa"/>
            <w:vAlign w:val="center"/>
          </w:tcPr>
          <w:p>
            <w:pPr>
              <w:pStyle w:val="16"/>
            </w:pPr>
            <w:r>
              <w:t>≥1次</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供暖面积</w:t>
            </w:r>
          </w:p>
        </w:tc>
        <w:tc>
          <w:tcPr>
            <w:tcW w:w="2835" w:type="dxa"/>
            <w:vAlign w:val="center"/>
          </w:tcPr>
          <w:p>
            <w:pPr>
              <w:pStyle w:val="16"/>
            </w:pPr>
            <w:r>
              <w:t>幼儿园供暖面积</w:t>
            </w:r>
          </w:p>
        </w:tc>
        <w:tc>
          <w:tcPr>
            <w:tcW w:w="2551" w:type="dxa"/>
            <w:vAlign w:val="center"/>
          </w:tcPr>
          <w:p>
            <w:pPr>
              <w:pStyle w:val="16"/>
            </w:pPr>
            <w:r>
              <w:t>2778.24平方米</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聘请教师数</w:t>
            </w:r>
          </w:p>
        </w:tc>
        <w:tc>
          <w:tcPr>
            <w:tcW w:w="2835" w:type="dxa"/>
            <w:vAlign w:val="center"/>
          </w:tcPr>
          <w:p>
            <w:pPr>
              <w:pStyle w:val="16"/>
            </w:pPr>
            <w:r>
              <w:t>幼儿园在岗教师数</w:t>
            </w:r>
          </w:p>
        </w:tc>
        <w:tc>
          <w:tcPr>
            <w:tcW w:w="2551" w:type="dxa"/>
            <w:vAlign w:val="center"/>
          </w:tcPr>
          <w:p>
            <w:pPr>
              <w:pStyle w:val="16"/>
            </w:pPr>
            <w:r>
              <w:t>30人</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教师培训合格率</w:t>
            </w:r>
          </w:p>
        </w:tc>
        <w:tc>
          <w:tcPr>
            <w:tcW w:w="2835" w:type="dxa"/>
            <w:vAlign w:val="center"/>
          </w:tcPr>
          <w:p>
            <w:pPr>
              <w:pStyle w:val="16"/>
            </w:pPr>
            <w:r>
              <w:t>教师通过培训数/全体教师数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网络连通率</w:t>
            </w:r>
          </w:p>
        </w:tc>
        <w:tc>
          <w:tcPr>
            <w:tcW w:w="2835" w:type="dxa"/>
            <w:vAlign w:val="center"/>
          </w:tcPr>
          <w:p>
            <w:pPr>
              <w:pStyle w:val="16"/>
            </w:pPr>
            <w:r>
              <w:t>实际联通设备数/应联通设备数</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及时发放教师工资</w:t>
            </w:r>
          </w:p>
        </w:tc>
        <w:tc>
          <w:tcPr>
            <w:tcW w:w="2835" w:type="dxa"/>
            <w:vAlign w:val="center"/>
          </w:tcPr>
          <w:p>
            <w:pPr>
              <w:pStyle w:val="16"/>
            </w:pPr>
            <w:r>
              <w:t>教师工资按时发放率</w:t>
            </w:r>
          </w:p>
        </w:tc>
        <w:tc>
          <w:tcPr>
            <w:tcW w:w="2551" w:type="dxa"/>
            <w:vAlign w:val="center"/>
          </w:tcPr>
          <w:p>
            <w:pPr>
              <w:pStyle w:val="16"/>
            </w:pPr>
            <w:r>
              <w:t>及时</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日常办公成本</w:t>
            </w:r>
          </w:p>
        </w:tc>
        <w:tc>
          <w:tcPr>
            <w:tcW w:w="2835" w:type="dxa"/>
            <w:vAlign w:val="center"/>
          </w:tcPr>
          <w:p>
            <w:pPr>
              <w:pStyle w:val="16"/>
            </w:pPr>
            <w:r>
              <w:t>幼儿园日常办公成本</w:t>
            </w:r>
          </w:p>
        </w:tc>
        <w:tc>
          <w:tcPr>
            <w:tcW w:w="2551" w:type="dxa"/>
            <w:vAlign w:val="center"/>
          </w:tcPr>
          <w:p>
            <w:pPr>
              <w:pStyle w:val="16"/>
            </w:pPr>
            <w:r>
              <w:t>≤15万元</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培养后备人才</w:t>
            </w:r>
          </w:p>
        </w:tc>
        <w:tc>
          <w:tcPr>
            <w:tcW w:w="2835" w:type="dxa"/>
            <w:vAlign w:val="center"/>
          </w:tcPr>
          <w:p>
            <w:pPr>
              <w:pStyle w:val="16"/>
            </w:pPr>
            <w:r>
              <w:t>为社会培养合格的后备人才奠定基础</w:t>
            </w:r>
          </w:p>
        </w:tc>
        <w:tc>
          <w:tcPr>
            <w:tcW w:w="2551" w:type="dxa"/>
            <w:vAlign w:val="center"/>
          </w:tcPr>
          <w:p>
            <w:pPr>
              <w:pStyle w:val="16"/>
            </w:pPr>
            <w:r>
              <w:t>人才储备</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解决航企职工及居民子女入学问题</w:t>
            </w:r>
          </w:p>
        </w:tc>
        <w:tc>
          <w:tcPr>
            <w:tcW w:w="2835" w:type="dxa"/>
            <w:vAlign w:val="center"/>
          </w:tcPr>
          <w:p>
            <w:pPr>
              <w:pStyle w:val="16"/>
            </w:pPr>
            <w:r>
              <w:t>解决服务范围内适龄儿童入学问题</w:t>
            </w:r>
          </w:p>
        </w:tc>
        <w:tc>
          <w:tcPr>
            <w:tcW w:w="2551" w:type="dxa"/>
            <w:vAlign w:val="center"/>
          </w:tcPr>
          <w:p>
            <w:pPr>
              <w:pStyle w:val="16"/>
            </w:pPr>
            <w:r>
              <w:t>解决</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校内相关人员对校内办公环境满意度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、新航中学办公经费绩效目标表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1.促进教育公平、义务教育均衡发展,保障城市义务教育顺利进行，改善办学条件。</w:t>
            </w:r>
          </w:p>
          <w:p>
            <w:pPr>
              <w:pStyle w:val="16"/>
            </w:pPr>
            <w:r>
              <w:t>2.保障义务教育教学正常的进行。改善办公条件，提升教育环境。开展教师培训，提高教师队伍水平。开展文体活动，提高学生综合素质。</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物资采购合格率</w:t>
            </w:r>
          </w:p>
        </w:tc>
        <w:tc>
          <w:tcPr>
            <w:tcW w:w="2835" w:type="dxa"/>
            <w:vAlign w:val="center"/>
          </w:tcPr>
          <w:p>
            <w:pPr>
              <w:pStyle w:val="16"/>
            </w:pPr>
            <w:r>
              <w:t>合格的教学用品数量占购置用品总量的比例。</w:t>
            </w:r>
          </w:p>
        </w:tc>
        <w:tc>
          <w:tcPr>
            <w:tcW w:w="2551" w:type="dxa"/>
            <w:vAlign w:val="center"/>
          </w:tcPr>
          <w:p>
            <w:pPr>
              <w:pStyle w:val="16"/>
            </w:pPr>
            <w:r>
              <w:t>100%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保正常运转</w:t>
            </w:r>
          </w:p>
        </w:tc>
        <w:tc>
          <w:tcPr>
            <w:tcW w:w="2835" w:type="dxa"/>
            <w:vAlign w:val="center"/>
          </w:tcPr>
          <w:p>
            <w:pPr>
              <w:pStyle w:val="16"/>
            </w:pPr>
            <w:r>
              <w:t>日常教学器材及物资充裕。</w:t>
            </w:r>
          </w:p>
        </w:tc>
        <w:tc>
          <w:tcPr>
            <w:tcW w:w="2551" w:type="dxa"/>
            <w:vAlign w:val="center"/>
          </w:tcPr>
          <w:p>
            <w:pPr>
              <w:pStyle w:val="16"/>
            </w:pPr>
            <w:r>
              <w:t>正常运转</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及时按时保质保量地完成</w:t>
            </w:r>
          </w:p>
        </w:tc>
        <w:tc>
          <w:tcPr>
            <w:tcW w:w="2835" w:type="dxa"/>
            <w:vAlign w:val="center"/>
          </w:tcPr>
          <w:p>
            <w:pPr>
              <w:pStyle w:val="16"/>
            </w:pPr>
            <w:r>
              <w:t>及时提供的教学用品、保障教学设施、设备正常运行。</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生均公用经费标准含85取暖费</w:t>
            </w:r>
          </w:p>
        </w:tc>
        <w:tc>
          <w:tcPr>
            <w:tcW w:w="2835" w:type="dxa"/>
            <w:vAlign w:val="center"/>
          </w:tcPr>
          <w:p>
            <w:pPr>
              <w:pStyle w:val="16"/>
            </w:pPr>
            <w:r>
              <w:t>义务教育阶段小学生均公用经费标准含85取暖费</w:t>
            </w:r>
          </w:p>
        </w:tc>
        <w:tc>
          <w:tcPr>
            <w:tcW w:w="2551" w:type="dxa"/>
            <w:vAlign w:val="center"/>
          </w:tcPr>
          <w:p>
            <w:pPr>
              <w:pStyle w:val="16"/>
            </w:pPr>
            <w:r>
              <w:t>≤735万元</w:t>
            </w:r>
          </w:p>
        </w:tc>
        <w:tc>
          <w:tcPr>
            <w:tcW w:w="2268" w:type="dxa"/>
            <w:vAlign w:val="center"/>
          </w:tcPr>
          <w:p>
            <w:pPr>
              <w:pStyle w:val="16"/>
            </w:pPr>
            <w:r>
              <w:t>工作计划</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提高教育质量</w:t>
            </w:r>
          </w:p>
        </w:tc>
        <w:tc>
          <w:tcPr>
            <w:tcW w:w="2835" w:type="dxa"/>
            <w:vAlign w:val="center"/>
          </w:tcPr>
          <w:p>
            <w:pPr>
              <w:pStyle w:val="16"/>
            </w:pPr>
            <w:r>
              <w:t>推动义务教育从数量扩张向质量提高转变。</w:t>
            </w:r>
          </w:p>
        </w:tc>
        <w:tc>
          <w:tcPr>
            <w:tcW w:w="2551" w:type="dxa"/>
            <w:vAlign w:val="center"/>
          </w:tcPr>
          <w:p>
            <w:pPr>
              <w:pStyle w:val="16"/>
            </w:pPr>
            <w:r>
              <w:t>提升</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提高人口素质</w:t>
            </w:r>
          </w:p>
        </w:tc>
        <w:tc>
          <w:tcPr>
            <w:tcW w:w="2835" w:type="dxa"/>
            <w:vAlign w:val="center"/>
          </w:tcPr>
          <w:p>
            <w:pPr>
              <w:pStyle w:val="16"/>
            </w:pPr>
            <w:r>
              <w:t>促进在校生德智体美劳全面发展、促进全民素质的提高。</w:t>
            </w:r>
          </w:p>
        </w:tc>
        <w:tc>
          <w:tcPr>
            <w:tcW w:w="2551" w:type="dxa"/>
            <w:vAlign w:val="center"/>
          </w:tcPr>
          <w:p>
            <w:pPr>
              <w:pStyle w:val="16"/>
            </w:pPr>
            <w:r>
              <w:t>提高</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接受义务教育学生</w:t>
            </w:r>
          </w:p>
          <w:p>
            <w:pPr>
              <w:pStyle w:val="16"/>
            </w:pPr>
            <w:r>
              <w:t>家长满意度</w:t>
            </w:r>
          </w:p>
        </w:tc>
        <w:tc>
          <w:tcPr>
            <w:tcW w:w="2835" w:type="dxa"/>
            <w:vAlign w:val="center"/>
          </w:tcPr>
          <w:p>
            <w:pPr>
              <w:pStyle w:val="16"/>
            </w:pPr>
            <w:r>
              <w:t>学生教师家长/总数</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、信访稳定工作经费绩效目标表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1.通过信访维稳值班、信访宣传、律师服务、信访平台搭建、新信访中心建设开展完成“业务管理制度化、工作流程标准化、方法手段信息化、受理办理法治化”的总体目标要求</w:t>
            </w:r>
          </w:p>
          <w:p>
            <w:pPr>
              <w:pStyle w:val="16"/>
            </w:pPr>
            <w:r>
              <w:t>2.提升信访基础业务工作水平、深化信访制度改革，确保2023年度信访维稳工作顺利实施，圆满完成工作任务。</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办公服务类</w:t>
            </w:r>
          </w:p>
        </w:tc>
        <w:tc>
          <w:tcPr>
            <w:tcW w:w="2835" w:type="dxa"/>
            <w:vAlign w:val="center"/>
          </w:tcPr>
          <w:p>
            <w:pPr>
              <w:pStyle w:val="16"/>
            </w:pPr>
            <w:r>
              <w:t>信访服务中心专线宽带、6812345信访热线、办公电话、办公地点日常保养</w:t>
            </w:r>
          </w:p>
        </w:tc>
        <w:tc>
          <w:tcPr>
            <w:tcW w:w="2551" w:type="dxa"/>
            <w:vAlign w:val="center"/>
          </w:tcPr>
          <w:p>
            <w:pPr>
              <w:pStyle w:val="16"/>
            </w:pPr>
            <w:r>
              <w:t>≥100%</w:t>
            </w:r>
          </w:p>
        </w:tc>
        <w:tc>
          <w:tcPr>
            <w:tcW w:w="2268" w:type="dxa"/>
            <w:vAlign w:val="center"/>
          </w:tcPr>
          <w:p>
            <w:pPr>
              <w:pStyle w:val="16"/>
            </w:pPr>
            <w:r>
              <w:t>工作实际需求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服务完成率</w:t>
            </w:r>
          </w:p>
        </w:tc>
        <w:tc>
          <w:tcPr>
            <w:tcW w:w="2835" w:type="dxa"/>
            <w:vAlign w:val="center"/>
          </w:tcPr>
          <w:p>
            <w:pPr>
              <w:pStyle w:val="16"/>
            </w:pPr>
            <w:r>
              <w:t>完成事项/交办事项%</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各项服务项目及时完成数量/总服务数量*100%</w:t>
            </w:r>
          </w:p>
        </w:tc>
        <w:tc>
          <w:tcPr>
            <w:tcW w:w="2551" w:type="dxa"/>
            <w:vAlign w:val="center"/>
          </w:tcPr>
          <w:p>
            <w:pPr>
              <w:pStyle w:val="16"/>
            </w:pPr>
            <w:r>
              <w:t>≥100%</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控制支付总费用</w:t>
            </w:r>
          </w:p>
        </w:tc>
        <w:tc>
          <w:tcPr>
            <w:tcW w:w="2551" w:type="dxa"/>
            <w:vAlign w:val="center"/>
          </w:tcPr>
          <w:p>
            <w:pPr>
              <w:pStyle w:val="16"/>
            </w:pPr>
            <w:r>
              <w:t>≤45万元</w:t>
            </w:r>
          </w:p>
        </w:tc>
        <w:tc>
          <w:tcPr>
            <w:tcW w:w="2268" w:type="dxa"/>
            <w:vAlign w:val="center"/>
          </w:tcPr>
          <w:p>
            <w:pPr>
              <w:pStyle w:val="16"/>
            </w:pPr>
            <w:r>
              <w:t>合同</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更好地维护廊坊临空经济区良好的外部形象、维护社会大局稳定和谐，为经济社会发展营造良好的内、外部环境。</w:t>
            </w:r>
          </w:p>
        </w:tc>
        <w:tc>
          <w:tcPr>
            <w:tcW w:w="2835" w:type="dxa"/>
            <w:vAlign w:val="center"/>
          </w:tcPr>
          <w:p>
            <w:pPr>
              <w:pStyle w:val="16"/>
            </w:pPr>
            <w:r>
              <w:t>通过信访服务，更好地提升廊坊临空经济区良好的外部形象、维护社会大局稳定和谐</w:t>
            </w:r>
          </w:p>
        </w:tc>
        <w:tc>
          <w:tcPr>
            <w:tcW w:w="2551" w:type="dxa"/>
            <w:vAlign w:val="center"/>
          </w:tcPr>
          <w:p>
            <w:pPr>
              <w:pStyle w:val="16"/>
            </w:pPr>
            <w:r>
              <w:t>提升</w:t>
            </w:r>
          </w:p>
        </w:tc>
        <w:tc>
          <w:tcPr>
            <w:tcW w:w="2268" w:type="dxa"/>
            <w:vAlign w:val="center"/>
          </w:tcPr>
          <w:p>
            <w:pPr>
              <w:pStyle w:val="16"/>
            </w:pPr>
            <w:r>
              <w:t>部门职责</w:t>
            </w:r>
          </w:p>
        </w:tc>
      </w:tr>
      <w:tr>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通过信访服务，减少信访数量。</w:t>
            </w:r>
          </w:p>
        </w:tc>
        <w:tc>
          <w:tcPr>
            <w:tcW w:w="2835" w:type="dxa"/>
            <w:vAlign w:val="center"/>
          </w:tcPr>
          <w:p>
            <w:pPr>
              <w:pStyle w:val="16"/>
            </w:pPr>
            <w:r>
              <w:t>信访减少，社会稳定，经济发展加快</w:t>
            </w:r>
          </w:p>
        </w:tc>
        <w:tc>
          <w:tcPr>
            <w:tcW w:w="2551" w:type="dxa"/>
            <w:vAlign w:val="center"/>
          </w:tcPr>
          <w:p>
            <w:pPr>
              <w:pStyle w:val="16"/>
            </w:pPr>
            <w:r>
              <w:t>减少</w:t>
            </w:r>
          </w:p>
        </w:tc>
        <w:tc>
          <w:tcPr>
            <w:tcW w:w="2268" w:type="dxa"/>
            <w:vAlign w:val="center"/>
          </w:tcPr>
          <w:p>
            <w:pPr>
              <w:pStyle w:val="16"/>
            </w:pPr>
            <w:r>
              <w:t>部门职责</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调查中满意服务人员/服务人员总数*100%</w:t>
            </w:r>
          </w:p>
        </w:tc>
        <w:tc>
          <w:tcPr>
            <w:tcW w:w="2551" w:type="dxa"/>
            <w:vAlign w:val="center"/>
          </w:tcPr>
          <w:p>
            <w:pPr>
              <w:pStyle w:val="16"/>
            </w:pPr>
            <w:r>
              <w:t>≥90%</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、信息港及周边附属配套基础设施项目前期手续费绩效目标表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的开展，编制可行性研究报告不少于3份，社会稳定性风险分析报告不少于1份，项目建议书不少于1份，用地预审及选址意见报告编制不少于1份，规划衔接方案不少于1份，保障临空经济区基础设施建设顺利开展。提升区域社会影响力、区域价值，促进区域基础设施建设顺利开展。</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项目建议书</w:t>
            </w:r>
          </w:p>
        </w:tc>
        <w:tc>
          <w:tcPr>
            <w:tcW w:w="2835" w:type="dxa"/>
            <w:vAlign w:val="center"/>
          </w:tcPr>
          <w:p>
            <w:pPr>
              <w:pStyle w:val="16"/>
            </w:pPr>
            <w:r>
              <w:t>考察编制项目建议书数量</w:t>
            </w:r>
          </w:p>
        </w:tc>
        <w:tc>
          <w:tcPr>
            <w:tcW w:w="2551" w:type="dxa"/>
            <w:vAlign w:val="center"/>
          </w:tcPr>
          <w:p>
            <w:pPr>
              <w:pStyle w:val="16"/>
            </w:pPr>
            <w:r>
              <w:t>1份</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规划衔接方案</w:t>
            </w:r>
          </w:p>
        </w:tc>
        <w:tc>
          <w:tcPr>
            <w:tcW w:w="2835" w:type="dxa"/>
            <w:vAlign w:val="center"/>
          </w:tcPr>
          <w:p>
            <w:pPr>
              <w:pStyle w:val="16"/>
            </w:pPr>
            <w:r>
              <w:t>考察编制规划衔接方案数量</w:t>
            </w:r>
          </w:p>
        </w:tc>
        <w:tc>
          <w:tcPr>
            <w:tcW w:w="2551" w:type="dxa"/>
            <w:vAlign w:val="center"/>
          </w:tcPr>
          <w:p>
            <w:pPr>
              <w:pStyle w:val="16"/>
            </w:pPr>
            <w:r>
              <w:t>1份</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报告评审通过率</w:t>
            </w:r>
          </w:p>
        </w:tc>
        <w:tc>
          <w:tcPr>
            <w:tcW w:w="2835" w:type="dxa"/>
            <w:vAlign w:val="center"/>
          </w:tcPr>
          <w:p>
            <w:pPr>
              <w:pStyle w:val="16"/>
            </w:pPr>
            <w:r>
              <w:t>评审通过报告数量/报告总数量*100%</w:t>
            </w:r>
          </w:p>
        </w:tc>
        <w:tc>
          <w:tcPr>
            <w:tcW w:w="2551" w:type="dxa"/>
            <w:vAlign w:val="center"/>
          </w:tcPr>
          <w:p>
            <w:pPr>
              <w:pStyle w:val="16"/>
            </w:pPr>
            <w:r>
              <w:t>≥95%</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反映项目完成时间</w:t>
            </w:r>
          </w:p>
        </w:tc>
        <w:tc>
          <w:tcPr>
            <w:tcW w:w="2551" w:type="dxa"/>
            <w:vAlign w:val="center"/>
          </w:tcPr>
          <w:p>
            <w:pPr>
              <w:pStyle w:val="16"/>
            </w:pPr>
            <w:r>
              <w:t>2022年3月底前</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用地预审计选址意见报告平均成本</w:t>
            </w:r>
          </w:p>
        </w:tc>
        <w:tc>
          <w:tcPr>
            <w:tcW w:w="2835" w:type="dxa"/>
            <w:vAlign w:val="center"/>
          </w:tcPr>
          <w:p>
            <w:pPr>
              <w:pStyle w:val="16"/>
            </w:pPr>
            <w:r>
              <w:t>用地预审计选址意见报告平均成本控制情况</w:t>
            </w:r>
          </w:p>
        </w:tc>
        <w:tc>
          <w:tcPr>
            <w:tcW w:w="2551" w:type="dxa"/>
            <w:vAlign w:val="center"/>
          </w:tcPr>
          <w:p>
            <w:pPr>
              <w:pStyle w:val="16"/>
            </w:pPr>
            <w:r>
              <w:t>≤22万元/份</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社会稳评报告平均成本</w:t>
            </w:r>
          </w:p>
        </w:tc>
        <w:tc>
          <w:tcPr>
            <w:tcW w:w="2835" w:type="dxa"/>
            <w:vAlign w:val="center"/>
          </w:tcPr>
          <w:p>
            <w:pPr>
              <w:pStyle w:val="16"/>
            </w:pPr>
            <w:r>
              <w:t>考察项目建议书平均成本控制情况</w:t>
            </w:r>
          </w:p>
        </w:tc>
        <w:tc>
          <w:tcPr>
            <w:tcW w:w="2551" w:type="dxa"/>
            <w:vAlign w:val="center"/>
          </w:tcPr>
          <w:p>
            <w:pPr>
              <w:pStyle w:val="16"/>
            </w:pPr>
            <w:r>
              <w:t>≤16万元/份</w:t>
            </w:r>
          </w:p>
        </w:tc>
        <w:tc>
          <w:tcPr>
            <w:tcW w:w="2268" w:type="dxa"/>
            <w:vAlign w:val="center"/>
          </w:tcPr>
          <w:p>
            <w:pPr>
              <w:pStyle w:val="16"/>
            </w:pPr>
            <w:r>
              <w:t>计划标准</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报告使用年限</w:t>
            </w:r>
          </w:p>
        </w:tc>
        <w:tc>
          <w:tcPr>
            <w:tcW w:w="2835" w:type="dxa"/>
            <w:vAlign w:val="center"/>
          </w:tcPr>
          <w:p>
            <w:pPr>
              <w:pStyle w:val="16"/>
            </w:pPr>
            <w:r>
              <w:t>考察报告使用情况</w:t>
            </w:r>
          </w:p>
        </w:tc>
        <w:tc>
          <w:tcPr>
            <w:tcW w:w="2551" w:type="dxa"/>
            <w:vAlign w:val="center"/>
          </w:tcPr>
          <w:p>
            <w:pPr>
              <w:pStyle w:val="16"/>
            </w:pPr>
            <w:r>
              <w:t>2年</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报告使用率</w:t>
            </w:r>
          </w:p>
        </w:tc>
        <w:tc>
          <w:tcPr>
            <w:tcW w:w="2835" w:type="dxa"/>
            <w:vAlign w:val="center"/>
          </w:tcPr>
          <w:p>
            <w:pPr>
              <w:pStyle w:val="16"/>
            </w:pPr>
            <w:r>
              <w:t>考察报告使用情况</w:t>
            </w:r>
          </w:p>
        </w:tc>
        <w:tc>
          <w:tcPr>
            <w:tcW w:w="2551" w:type="dxa"/>
            <w:vAlign w:val="center"/>
          </w:tcPr>
          <w:p>
            <w:pPr>
              <w:pStyle w:val="16"/>
            </w:pPr>
            <w:r>
              <w:t>≥95%</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相关工作人员满意度</w:t>
            </w:r>
          </w:p>
        </w:tc>
        <w:tc>
          <w:tcPr>
            <w:tcW w:w="2835" w:type="dxa"/>
            <w:vAlign w:val="center"/>
          </w:tcPr>
          <w:p>
            <w:pPr>
              <w:pStyle w:val="16"/>
            </w:pPr>
            <w:r>
              <w:t>满意人数总人数*100%</w:t>
            </w:r>
          </w:p>
        </w:tc>
        <w:tc>
          <w:tcPr>
            <w:tcW w:w="2551" w:type="dxa"/>
            <w:vAlign w:val="center"/>
          </w:tcPr>
          <w:p>
            <w:pPr>
              <w:pStyle w:val="16"/>
            </w:pPr>
            <w:r>
              <w:t>≥95%</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、信息宣传项目绩效目标表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与媒体合作，充分展示廊坊临空经济区拼搏向上、朝气蓬勃的精神面貌和日新月异的建设成果，进一步提升廊坊临空经济区知名度和吸引力。树立临空经济区品牌形象，打造与世界一流航空城相匹配的品牌价值。</w:t>
            </w:r>
          </w:p>
          <w:p>
            <w:pPr>
              <w:pStyle w:val="16"/>
            </w:pPr>
            <w:r>
              <w:t>2.通过与媒体合作，完成市委宣传部一年600分的考核要求，同时在央级媒体发稿量不少于200篇，央级媒体发稿量，不少于100篇。</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央级媒体发稿量</w:t>
            </w:r>
          </w:p>
        </w:tc>
        <w:tc>
          <w:tcPr>
            <w:tcW w:w="2835" w:type="dxa"/>
            <w:vAlign w:val="center"/>
          </w:tcPr>
          <w:p>
            <w:pPr>
              <w:pStyle w:val="16"/>
            </w:pPr>
            <w:r>
              <w:t>央级媒体稿件发布量</w:t>
            </w:r>
          </w:p>
        </w:tc>
        <w:tc>
          <w:tcPr>
            <w:tcW w:w="2551" w:type="dxa"/>
            <w:vAlign w:val="center"/>
          </w:tcPr>
          <w:p>
            <w:pPr>
              <w:pStyle w:val="16"/>
            </w:pPr>
            <w:r>
              <w:t>≥100篇</w:t>
            </w:r>
          </w:p>
        </w:tc>
        <w:tc>
          <w:tcPr>
            <w:tcW w:w="2268" w:type="dxa"/>
            <w:vAlign w:val="center"/>
          </w:tcPr>
          <w:p>
            <w:pPr>
              <w:pStyle w:val="16"/>
            </w:pPr>
            <w:r>
              <w:t>以往经验</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省级媒体发稿量</w:t>
            </w:r>
          </w:p>
        </w:tc>
        <w:tc>
          <w:tcPr>
            <w:tcW w:w="2835" w:type="dxa"/>
            <w:vAlign w:val="center"/>
          </w:tcPr>
          <w:p>
            <w:pPr>
              <w:pStyle w:val="16"/>
            </w:pPr>
            <w:r>
              <w:t>省级媒体稿件发布量</w:t>
            </w:r>
          </w:p>
        </w:tc>
        <w:tc>
          <w:tcPr>
            <w:tcW w:w="2551" w:type="dxa"/>
            <w:vAlign w:val="center"/>
          </w:tcPr>
          <w:p>
            <w:pPr>
              <w:pStyle w:val="16"/>
            </w:pPr>
            <w:r>
              <w:t>≥200篇</w:t>
            </w:r>
          </w:p>
        </w:tc>
        <w:tc>
          <w:tcPr>
            <w:tcW w:w="2268" w:type="dxa"/>
            <w:vAlign w:val="center"/>
          </w:tcPr>
          <w:p>
            <w:pPr>
              <w:pStyle w:val="16"/>
            </w:pPr>
            <w:r>
              <w:t>以往经验</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市级媒体发稿量</w:t>
            </w:r>
          </w:p>
        </w:tc>
        <w:tc>
          <w:tcPr>
            <w:tcW w:w="2835" w:type="dxa"/>
            <w:vAlign w:val="center"/>
          </w:tcPr>
          <w:p>
            <w:pPr>
              <w:pStyle w:val="16"/>
            </w:pPr>
            <w:r>
              <w:t>市级媒体稿件发布量</w:t>
            </w:r>
          </w:p>
        </w:tc>
        <w:tc>
          <w:tcPr>
            <w:tcW w:w="2551" w:type="dxa"/>
            <w:vAlign w:val="center"/>
          </w:tcPr>
          <w:p>
            <w:pPr>
              <w:pStyle w:val="16"/>
            </w:pPr>
            <w:r>
              <w:t>≥300篇</w:t>
            </w:r>
          </w:p>
        </w:tc>
        <w:tc>
          <w:tcPr>
            <w:tcW w:w="2268" w:type="dxa"/>
            <w:vAlign w:val="center"/>
          </w:tcPr>
          <w:p>
            <w:pPr>
              <w:pStyle w:val="16"/>
            </w:pPr>
            <w:r>
              <w:t>以往经验</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头版</w:t>
            </w:r>
          </w:p>
        </w:tc>
        <w:tc>
          <w:tcPr>
            <w:tcW w:w="2835" w:type="dxa"/>
            <w:vAlign w:val="center"/>
          </w:tcPr>
          <w:p>
            <w:pPr>
              <w:pStyle w:val="16"/>
            </w:pPr>
            <w:r>
              <w:t>媒体内容发布位置</w:t>
            </w:r>
          </w:p>
        </w:tc>
        <w:tc>
          <w:tcPr>
            <w:tcW w:w="2551" w:type="dxa"/>
            <w:vAlign w:val="center"/>
          </w:tcPr>
          <w:p>
            <w:pPr>
              <w:pStyle w:val="16"/>
            </w:pPr>
            <w:r>
              <w:t>≥10篇</w:t>
            </w:r>
          </w:p>
        </w:tc>
        <w:tc>
          <w:tcPr>
            <w:tcW w:w="2268" w:type="dxa"/>
            <w:vAlign w:val="center"/>
          </w:tcPr>
          <w:p>
            <w:pPr>
              <w:pStyle w:val="16"/>
            </w:pPr>
            <w:r>
              <w:t>以往经验</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报道时效性</w:t>
            </w:r>
          </w:p>
        </w:tc>
        <w:tc>
          <w:tcPr>
            <w:tcW w:w="2835" w:type="dxa"/>
            <w:vAlign w:val="center"/>
          </w:tcPr>
          <w:p>
            <w:pPr>
              <w:pStyle w:val="16"/>
            </w:pPr>
            <w:r>
              <w:t>媒体报道重点新闻时效性</w:t>
            </w:r>
          </w:p>
        </w:tc>
        <w:tc>
          <w:tcPr>
            <w:tcW w:w="2551" w:type="dxa"/>
            <w:vAlign w:val="center"/>
          </w:tcPr>
          <w:p>
            <w:pPr>
              <w:pStyle w:val="16"/>
            </w:pPr>
            <w:r>
              <w:t>≤1周</w:t>
            </w:r>
          </w:p>
        </w:tc>
        <w:tc>
          <w:tcPr>
            <w:tcW w:w="2268" w:type="dxa"/>
            <w:vAlign w:val="center"/>
          </w:tcPr>
          <w:p>
            <w:pPr>
              <w:pStyle w:val="16"/>
            </w:pPr>
            <w:r>
              <w:t>以往经验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单篇内容成本</w:t>
            </w:r>
          </w:p>
        </w:tc>
        <w:tc>
          <w:tcPr>
            <w:tcW w:w="2835" w:type="dxa"/>
            <w:vAlign w:val="center"/>
          </w:tcPr>
          <w:p>
            <w:pPr>
              <w:pStyle w:val="16"/>
            </w:pPr>
            <w:r>
              <w:t>单篇稿件发布成本</w:t>
            </w:r>
          </w:p>
        </w:tc>
        <w:tc>
          <w:tcPr>
            <w:tcW w:w="2551" w:type="dxa"/>
            <w:vAlign w:val="center"/>
          </w:tcPr>
          <w:p>
            <w:pPr>
              <w:pStyle w:val="16"/>
            </w:pPr>
            <w:r>
              <w:t>≤1万元</w:t>
            </w:r>
          </w:p>
        </w:tc>
        <w:tc>
          <w:tcPr>
            <w:tcW w:w="2268" w:type="dxa"/>
            <w:vAlign w:val="center"/>
          </w:tcPr>
          <w:p>
            <w:pPr>
              <w:pStyle w:val="16"/>
            </w:pPr>
            <w:r>
              <w:t>工作计划</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招商引资</w:t>
            </w:r>
          </w:p>
        </w:tc>
        <w:tc>
          <w:tcPr>
            <w:tcW w:w="2835" w:type="dxa"/>
            <w:vAlign w:val="center"/>
          </w:tcPr>
          <w:p>
            <w:pPr>
              <w:pStyle w:val="16"/>
            </w:pPr>
            <w:r>
              <w:t>提升临空经济区知名度，助力招商引资。</w:t>
            </w:r>
          </w:p>
        </w:tc>
        <w:tc>
          <w:tcPr>
            <w:tcW w:w="2551" w:type="dxa"/>
            <w:vAlign w:val="center"/>
          </w:tcPr>
          <w:p>
            <w:pPr>
              <w:pStyle w:val="16"/>
            </w:pPr>
            <w:r>
              <w:t>有效</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知名度</w:t>
            </w:r>
          </w:p>
        </w:tc>
        <w:tc>
          <w:tcPr>
            <w:tcW w:w="2835" w:type="dxa"/>
            <w:vAlign w:val="center"/>
          </w:tcPr>
          <w:p>
            <w:pPr>
              <w:pStyle w:val="16"/>
            </w:pPr>
            <w:r>
              <w:t>提升临空经济区知名度</w:t>
            </w:r>
          </w:p>
        </w:tc>
        <w:tc>
          <w:tcPr>
            <w:tcW w:w="2551" w:type="dxa"/>
            <w:vAlign w:val="center"/>
          </w:tcPr>
          <w:p>
            <w:pPr>
              <w:pStyle w:val="16"/>
            </w:pPr>
            <w:r>
              <w:t>提高</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树立形象</w:t>
            </w:r>
          </w:p>
        </w:tc>
        <w:tc>
          <w:tcPr>
            <w:tcW w:w="2835" w:type="dxa"/>
            <w:vAlign w:val="center"/>
          </w:tcPr>
          <w:p>
            <w:pPr>
              <w:pStyle w:val="16"/>
            </w:pPr>
            <w:r>
              <w:t>树立临空整体对外形象</w:t>
            </w:r>
          </w:p>
        </w:tc>
        <w:tc>
          <w:tcPr>
            <w:tcW w:w="2551" w:type="dxa"/>
            <w:vAlign w:val="center"/>
          </w:tcPr>
          <w:p>
            <w:pPr>
              <w:pStyle w:val="16"/>
            </w:pPr>
            <w:r>
              <w:t>提高</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发稿量</w:t>
            </w:r>
          </w:p>
        </w:tc>
        <w:tc>
          <w:tcPr>
            <w:tcW w:w="2835" w:type="dxa"/>
            <w:vAlign w:val="center"/>
          </w:tcPr>
          <w:p>
            <w:pPr>
              <w:pStyle w:val="16"/>
            </w:pPr>
            <w:r>
              <w:t>完成目标既定发稿量</w:t>
            </w:r>
          </w:p>
        </w:tc>
        <w:tc>
          <w:tcPr>
            <w:tcW w:w="2551" w:type="dxa"/>
            <w:vAlign w:val="center"/>
          </w:tcPr>
          <w:p>
            <w:pPr>
              <w:pStyle w:val="16"/>
            </w:pPr>
            <w:r>
              <w:t>完成</w:t>
            </w:r>
          </w:p>
        </w:tc>
        <w:tc>
          <w:tcPr>
            <w:tcW w:w="2268" w:type="dxa"/>
            <w:vAlign w:val="center"/>
          </w:tcPr>
          <w:p>
            <w:pPr>
              <w:pStyle w:val="16"/>
            </w:pPr>
            <w:r>
              <w:t>合同约定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、行政执法合规法律服务项目绩效目标表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00"/>
        <w:gridCol w:w="13398"/>
      </w:tblGrid>
      <w:tr>
        <w:trPr>
          <w:trHeight w:val="397" w:hRule="atLeast"/>
          <w:jc w:val="center"/>
        </w:trPr>
        <w:tc>
          <w:tcPr>
            <w:tcW w:w="1400" w:type="dxa"/>
            <w:tcBorders>
              <w:bottom w:val="single" w:color="FFFFFF" w:sz="6" w:space="0"/>
            </w:tcBorders>
            <w:vAlign w:val="center"/>
          </w:tcPr>
          <w:p>
            <w:pPr>
              <w:pStyle w:val="14"/>
            </w:pPr>
            <w:r>
              <w:t>绩效目标</w:t>
            </w:r>
          </w:p>
        </w:tc>
        <w:tc>
          <w:tcPr>
            <w:tcW w:w="13398" w:type="dxa"/>
            <w:tcBorders>
              <w:bottom w:val="single" w:color="FFFFFF" w:sz="6" w:space="0"/>
            </w:tcBorders>
            <w:vAlign w:val="center"/>
          </w:tcPr>
          <w:p>
            <w:pPr>
              <w:pStyle w:val="16"/>
            </w:pPr>
            <w:r>
              <w:t>1.为推进政府购买法律服务工作制度化、规范化，促进法律服务事业健康发展，提高政府依法行政能力和水平。</w:t>
            </w:r>
          </w:p>
          <w:p>
            <w:pPr>
              <w:pStyle w:val="16"/>
            </w:pPr>
            <w:r>
              <w:t>2.通过项目的开展完成编制法律体系规范性文件10份，法律风险评估10份，法律事务咨询10次，法律咨询文件发函6次，法律事务服务质量达标率达到100%，成本控制在预算范围内，提高综合执法公信力，纠正执法过程中不当行为。</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9"/>
        <w:gridCol w:w="1253"/>
        <w:gridCol w:w="2273"/>
        <w:gridCol w:w="3727"/>
        <w:gridCol w:w="1562"/>
        <w:gridCol w:w="4582"/>
      </w:tblGrid>
      <w:tr>
        <w:trPr>
          <w:trHeight w:val="397" w:hRule="atLeast"/>
          <w:tblHeader/>
          <w:jc w:val="center"/>
        </w:trPr>
        <w:tc>
          <w:tcPr>
            <w:tcW w:w="1399" w:type="dxa"/>
            <w:vAlign w:val="center"/>
          </w:tcPr>
          <w:p>
            <w:pPr>
              <w:pStyle w:val="14"/>
            </w:pPr>
            <w:r>
              <w:t>一级指标</w:t>
            </w:r>
          </w:p>
        </w:tc>
        <w:tc>
          <w:tcPr>
            <w:tcW w:w="1253" w:type="dxa"/>
            <w:vAlign w:val="center"/>
          </w:tcPr>
          <w:p>
            <w:pPr>
              <w:pStyle w:val="14"/>
            </w:pPr>
            <w:r>
              <w:t>二级指标</w:t>
            </w:r>
          </w:p>
        </w:tc>
        <w:tc>
          <w:tcPr>
            <w:tcW w:w="2273" w:type="dxa"/>
            <w:vAlign w:val="center"/>
          </w:tcPr>
          <w:p>
            <w:pPr>
              <w:pStyle w:val="14"/>
            </w:pPr>
            <w:r>
              <w:t>三级指标</w:t>
            </w:r>
          </w:p>
        </w:tc>
        <w:tc>
          <w:tcPr>
            <w:tcW w:w="3727" w:type="dxa"/>
            <w:vAlign w:val="center"/>
          </w:tcPr>
          <w:p>
            <w:pPr>
              <w:pStyle w:val="14"/>
            </w:pPr>
            <w:r>
              <w:t>绩效指标描述</w:t>
            </w:r>
          </w:p>
        </w:tc>
        <w:tc>
          <w:tcPr>
            <w:tcW w:w="1562" w:type="dxa"/>
            <w:vAlign w:val="center"/>
          </w:tcPr>
          <w:p>
            <w:pPr>
              <w:pStyle w:val="14"/>
            </w:pPr>
            <w:r>
              <w:t>指标值</w:t>
            </w:r>
          </w:p>
        </w:tc>
        <w:tc>
          <w:tcPr>
            <w:tcW w:w="4582" w:type="dxa"/>
            <w:vAlign w:val="center"/>
          </w:tcPr>
          <w:p>
            <w:pPr>
              <w:pStyle w:val="14"/>
            </w:pPr>
            <w:r>
              <w:t>指标值确定依据</w:t>
            </w:r>
          </w:p>
        </w:tc>
      </w:tr>
      <w:tr>
        <w:trPr>
          <w:trHeight w:val="397" w:hRule="atLeast"/>
          <w:jc w:val="center"/>
        </w:trPr>
        <w:tc>
          <w:tcPr>
            <w:tcW w:w="1399" w:type="dxa"/>
            <w:vMerge w:val="restart"/>
            <w:vAlign w:val="center"/>
          </w:tcPr>
          <w:p>
            <w:pPr>
              <w:pStyle w:val="17"/>
            </w:pPr>
            <w:r>
              <w:t>产出指标</w:t>
            </w:r>
          </w:p>
        </w:tc>
        <w:tc>
          <w:tcPr>
            <w:tcW w:w="1253" w:type="dxa"/>
            <w:vAlign w:val="center"/>
          </w:tcPr>
          <w:p>
            <w:pPr>
              <w:pStyle w:val="16"/>
            </w:pPr>
            <w:r>
              <w:t>数量指标</w:t>
            </w:r>
          </w:p>
        </w:tc>
        <w:tc>
          <w:tcPr>
            <w:tcW w:w="2273" w:type="dxa"/>
            <w:vAlign w:val="center"/>
          </w:tcPr>
          <w:p>
            <w:pPr>
              <w:pStyle w:val="16"/>
            </w:pPr>
            <w:r>
              <w:t>编制法律体系规范性文件数量</w:t>
            </w:r>
          </w:p>
        </w:tc>
        <w:tc>
          <w:tcPr>
            <w:tcW w:w="3727" w:type="dxa"/>
            <w:vAlign w:val="center"/>
          </w:tcPr>
          <w:p>
            <w:pPr>
              <w:pStyle w:val="16"/>
            </w:pPr>
            <w:r>
              <w:t>编制法律体系规范性文件数量</w:t>
            </w:r>
          </w:p>
        </w:tc>
        <w:tc>
          <w:tcPr>
            <w:tcW w:w="1562" w:type="dxa"/>
            <w:vAlign w:val="center"/>
          </w:tcPr>
          <w:p>
            <w:pPr>
              <w:pStyle w:val="16"/>
            </w:pPr>
            <w:r>
              <w:t>≥10份</w:t>
            </w:r>
          </w:p>
        </w:tc>
        <w:tc>
          <w:tcPr>
            <w:tcW w:w="4582" w:type="dxa"/>
            <w:vAlign w:val="center"/>
          </w:tcPr>
          <w:p>
            <w:pPr>
              <w:pStyle w:val="16"/>
            </w:pPr>
            <w:r>
              <w:t>达到目标值得满分，每减少1份，扣权重分25%，扣完为止。</w:t>
            </w:r>
          </w:p>
        </w:tc>
      </w:tr>
      <w:tr>
        <w:trPr>
          <w:trHeight w:val="397" w:hRule="atLeast"/>
          <w:jc w:val="center"/>
        </w:trPr>
        <w:tc>
          <w:tcPr>
            <w:tcW w:w="1399" w:type="dxa"/>
            <w:vMerge w:val="continue"/>
            <w:vAlign w:val="center"/>
          </w:tcPr>
          <w:p/>
        </w:tc>
        <w:tc>
          <w:tcPr>
            <w:tcW w:w="1253" w:type="dxa"/>
            <w:vAlign w:val="center"/>
          </w:tcPr>
          <w:p>
            <w:pPr>
              <w:pStyle w:val="16"/>
            </w:pPr>
            <w:r>
              <w:t>数量指标</w:t>
            </w:r>
          </w:p>
        </w:tc>
        <w:tc>
          <w:tcPr>
            <w:tcW w:w="2273" w:type="dxa"/>
            <w:vAlign w:val="center"/>
          </w:tcPr>
          <w:p>
            <w:pPr>
              <w:pStyle w:val="16"/>
            </w:pPr>
            <w:r>
              <w:t>法律风险评估数量</w:t>
            </w:r>
          </w:p>
        </w:tc>
        <w:tc>
          <w:tcPr>
            <w:tcW w:w="3727" w:type="dxa"/>
            <w:vAlign w:val="center"/>
          </w:tcPr>
          <w:p>
            <w:pPr>
              <w:pStyle w:val="16"/>
            </w:pPr>
            <w:r>
              <w:t>法律风险评估数量</w:t>
            </w:r>
          </w:p>
        </w:tc>
        <w:tc>
          <w:tcPr>
            <w:tcW w:w="1562" w:type="dxa"/>
            <w:vAlign w:val="center"/>
          </w:tcPr>
          <w:p>
            <w:pPr>
              <w:pStyle w:val="16"/>
            </w:pPr>
            <w:r>
              <w:t>≥10份</w:t>
            </w:r>
          </w:p>
        </w:tc>
        <w:tc>
          <w:tcPr>
            <w:tcW w:w="4582" w:type="dxa"/>
            <w:vAlign w:val="center"/>
          </w:tcPr>
          <w:p>
            <w:pPr>
              <w:pStyle w:val="16"/>
            </w:pPr>
            <w:r>
              <w:t>达到目标值得满分，每减少1份，扣权重分25%，扣完为止。</w:t>
            </w:r>
          </w:p>
        </w:tc>
      </w:tr>
      <w:tr>
        <w:trPr>
          <w:trHeight w:val="397" w:hRule="atLeast"/>
          <w:jc w:val="center"/>
        </w:trPr>
        <w:tc>
          <w:tcPr>
            <w:tcW w:w="1399" w:type="dxa"/>
            <w:vMerge w:val="continue"/>
            <w:vAlign w:val="center"/>
          </w:tcPr>
          <w:p/>
        </w:tc>
        <w:tc>
          <w:tcPr>
            <w:tcW w:w="1253" w:type="dxa"/>
            <w:vAlign w:val="center"/>
          </w:tcPr>
          <w:p>
            <w:pPr>
              <w:pStyle w:val="16"/>
            </w:pPr>
            <w:r>
              <w:t>数量指标</w:t>
            </w:r>
          </w:p>
        </w:tc>
        <w:tc>
          <w:tcPr>
            <w:tcW w:w="2273" w:type="dxa"/>
            <w:vAlign w:val="center"/>
          </w:tcPr>
          <w:p>
            <w:pPr>
              <w:pStyle w:val="16"/>
            </w:pPr>
            <w:r>
              <w:t>法律事务咨询数量</w:t>
            </w:r>
          </w:p>
        </w:tc>
        <w:tc>
          <w:tcPr>
            <w:tcW w:w="3727" w:type="dxa"/>
            <w:vAlign w:val="center"/>
          </w:tcPr>
          <w:p>
            <w:pPr>
              <w:pStyle w:val="16"/>
            </w:pPr>
            <w:r>
              <w:t>法律事务咨询数量</w:t>
            </w:r>
          </w:p>
        </w:tc>
        <w:tc>
          <w:tcPr>
            <w:tcW w:w="1562" w:type="dxa"/>
            <w:vAlign w:val="center"/>
          </w:tcPr>
          <w:p>
            <w:pPr>
              <w:pStyle w:val="16"/>
            </w:pPr>
            <w:r>
              <w:t>≥10次</w:t>
            </w:r>
          </w:p>
        </w:tc>
        <w:tc>
          <w:tcPr>
            <w:tcW w:w="4582" w:type="dxa"/>
            <w:vAlign w:val="center"/>
          </w:tcPr>
          <w:p>
            <w:pPr>
              <w:pStyle w:val="16"/>
            </w:pPr>
            <w:r>
              <w:t>达到目标值得满分，每减少1份，扣权重分25%，扣完为止。</w:t>
            </w:r>
          </w:p>
        </w:tc>
      </w:tr>
      <w:tr>
        <w:trPr>
          <w:trHeight w:val="397" w:hRule="atLeast"/>
          <w:jc w:val="center"/>
        </w:trPr>
        <w:tc>
          <w:tcPr>
            <w:tcW w:w="1399" w:type="dxa"/>
            <w:vMerge w:val="continue"/>
            <w:vAlign w:val="center"/>
          </w:tcPr>
          <w:p/>
        </w:tc>
        <w:tc>
          <w:tcPr>
            <w:tcW w:w="1253" w:type="dxa"/>
            <w:vAlign w:val="center"/>
          </w:tcPr>
          <w:p>
            <w:pPr>
              <w:pStyle w:val="16"/>
            </w:pPr>
            <w:r>
              <w:t>数量指标</w:t>
            </w:r>
          </w:p>
        </w:tc>
        <w:tc>
          <w:tcPr>
            <w:tcW w:w="2273" w:type="dxa"/>
            <w:vAlign w:val="center"/>
          </w:tcPr>
          <w:p>
            <w:pPr>
              <w:pStyle w:val="16"/>
            </w:pPr>
            <w:r>
              <w:t>法律咨询文件发函数量</w:t>
            </w:r>
          </w:p>
        </w:tc>
        <w:tc>
          <w:tcPr>
            <w:tcW w:w="3727" w:type="dxa"/>
            <w:vAlign w:val="center"/>
          </w:tcPr>
          <w:p>
            <w:pPr>
              <w:pStyle w:val="16"/>
            </w:pPr>
            <w:r>
              <w:t>法律咨询文件发函数量</w:t>
            </w:r>
          </w:p>
        </w:tc>
        <w:tc>
          <w:tcPr>
            <w:tcW w:w="1562" w:type="dxa"/>
            <w:vAlign w:val="center"/>
          </w:tcPr>
          <w:p>
            <w:pPr>
              <w:pStyle w:val="16"/>
            </w:pPr>
            <w:r>
              <w:t>≥6次</w:t>
            </w:r>
          </w:p>
        </w:tc>
        <w:tc>
          <w:tcPr>
            <w:tcW w:w="4582" w:type="dxa"/>
            <w:vAlign w:val="center"/>
          </w:tcPr>
          <w:p>
            <w:pPr>
              <w:pStyle w:val="16"/>
            </w:pPr>
            <w:r>
              <w:t>达到目标值得满分，每减少1份，扣权重分50%，扣完为止。</w:t>
            </w:r>
          </w:p>
        </w:tc>
      </w:tr>
      <w:tr>
        <w:trPr>
          <w:trHeight w:val="397" w:hRule="atLeast"/>
          <w:jc w:val="center"/>
        </w:trPr>
        <w:tc>
          <w:tcPr>
            <w:tcW w:w="1399" w:type="dxa"/>
            <w:vMerge w:val="continue"/>
            <w:vAlign w:val="center"/>
          </w:tcPr>
          <w:p/>
        </w:tc>
        <w:tc>
          <w:tcPr>
            <w:tcW w:w="1253" w:type="dxa"/>
            <w:vAlign w:val="center"/>
          </w:tcPr>
          <w:p>
            <w:pPr>
              <w:pStyle w:val="16"/>
            </w:pPr>
            <w:r>
              <w:t>质量指标</w:t>
            </w:r>
          </w:p>
        </w:tc>
        <w:tc>
          <w:tcPr>
            <w:tcW w:w="2273" w:type="dxa"/>
            <w:vAlign w:val="center"/>
          </w:tcPr>
          <w:p>
            <w:pPr>
              <w:pStyle w:val="16"/>
            </w:pPr>
            <w:r>
              <w:t>法律事务服务质量达标率</w:t>
            </w:r>
          </w:p>
        </w:tc>
        <w:tc>
          <w:tcPr>
            <w:tcW w:w="3727" w:type="dxa"/>
            <w:vAlign w:val="center"/>
          </w:tcPr>
          <w:p>
            <w:pPr>
              <w:pStyle w:val="16"/>
            </w:pPr>
            <w:r>
              <w:t>提供法律事务服务质量达标数量/提供法律事务服务总数量*100%</w:t>
            </w:r>
          </w:p>
        </w:tc>
        <w:tc>
          <w:tcPr>
            <w:tcW w:w="1562" w:type="dxa"/>
            <w:vAlign w:val="center"/>
          </w:tcPr>
          <w:p>
            <w:pPr>
              <w:pStyle w:val="16"/>
            </w:pPr>
            <w:r>
              <w:t>100%</w:t>
            </w:r>
          </w:p>
        </w:tc>
        <w:tc>
          <w:tcPr>
            <w:tcW w:w="4582" w:type="dxa"/>
            <w:vAlign w:val="center"/>
          </w:tcPr>
          <w:p>
            <w:pPr>
              <w:pStyle w:val="16"/>
            </w:pPr>
            <w:r>
              <w:t>达到目标值得满分每降低1%扣权重分10%，扣完为止。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时效指标</w:t>
            </w:r>
          </w:p>
        </w:tc>
        <w:tc>
          <w:tcPr>
            <w:tcW w:w="2273" w:type="dxa"/>
            <w:vAlign w:val="center"/>
          </w:tcPr>
          <w:p>
            <w:pPr>
              <w:pStyle w:val="16"/>
            </w:pPr>
            <w:r>
              <w:t>提供法律事务服务及时性</w:t>
            </w:r>
          </w:p>
        </w:tc>
        <w:tc>
          <w:tcPr>
            <w:tcW w:w="3727" w:type="dxa"/>
            <w:vAlign w:val="center"/>
          </w:tcPr>
          <w:p>
            <w:pPr>
              <w:pStyle w:val="16"/>
            </w:pPr>
            <w:r>
              <w:t>考察提供法律事务服务及时情况</w:t>
            </w:r>
          </w:p>
        </w:tc>
        <w:tc>
          <w:tcPr>
            <w:tcW w:w="1562" w:type="dxa"/>
            <w:vAlign w:val="center"/>
          </w:tcPr>
          <w:p>
            <w:pPr>
              <w:pStyle w:val="16"/>
            </w:pPr>
            <w:r>
              <w:t>及时</w:t>
            </w:r>
          </w:p>
        </w:tc>
        <w:tc>
          <w:tcPr>
            <w:tcW w:w="4582" w:type="dxa"/>
            <w:vAlign w:val="center"/>
          </w:tcPr>
          <w:p>
            <w:pPr>
              <w:pStyle w:val="16"/>
            </w:pPr>
            <w:r>
              <w:t>及时得满分，每降低1%扣权重分10%，扣完为止。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时效指标</w:t>
            </w:r>
          </w:p>
        </w:tc>
        <w:tc>
          <w:tcPr>
            <w:tcW w:w="2273" w:type="dxa"/>
            <w:vAlign w:val="center"/>
          </w:tcPr>
          <w:p>
            <w:pPr>
              <w:pStyle w:val="16"/>
            </w:pPr>
            <w:r>
              <w:t>纠纷化解及时率</w:t>
            </w:r>
          </w:p>
        </w:tc>
        <w:tc>
          <w:tcPr>
            <w:tcW w:w="3727" w:type="dxa"/>
            <w:vAlign w:val="center"/>
          </w:tcPr>
          <w:p>
            <w:pPr>
              <w:pStyle w:val="16"/>
            </w:pPr>
            <w:r>
              <w:t>及时化解纠纷数量/纠纷总数量*100%</w:t>
            </w:r>
          </w:p>
        </w:tc>
        <w:tc>
          <w:tcPr>
            <w:tcW w:w="1562" w:type="dxa"/>
            <w:vAlign w:val="center"/>
          </w:tcPr>
          <w:p>
            <w:pPr>
              <w:pStyle w:val="16"/>
            </w:pPr>
            <w:r>
              <w:t>≥95%</w:t>
            </w:r>
          </w:p>
        </w:tc>
        <w:tc>
          <w:tcPr>
            <w:tcW w:w="4582" w:type="dxa"/>
            <w:vAlign w:val="center"/>
          </w:tcPr>
          <w:p>
            <w:pPr>
              <w:pStyle w:val="16"/>
            </w:pPr>
            <w:r>
              <w:t>达到目标值得满分，每降低1%，扣权重分10%，扣完为止。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成本指标</w:t>
            </w:r>
          </w:p>
        </w:tc>
        <w:tc>
          <w:tcPr>
            <w:tcW w:w="2273" w:type="dxa"/>
            <w:vAlign w:val="center"/>
          </w:tcPr>
          <w:p>
            <w:pPr>
              <w:pStyle w:val="16"/>
            </w:pPr>
            <w:r>
              <w:t>法律体系规范性文件平均成本</w:t>
            </w:r>
          </w:p>
        </w:tc>
        <w:tc>
          <w:tcPr>
            <w:tcW w:w="3727" w:type="dxa"/>
            <w:vAlign w:val="center"/>
          </w:tcPr>
          <w:p>
            <w:pPr>
              <w:pStyle w:val="16"/>
            </w:pPr>
            <w:r>
              <w:t>考察法律体系规范性文件平均成本控制情况</w:t>
            </w:r>
          </w:p>
        </w:tc>
        <w:tc>
          <w:tcPr>
            <w:tcW w:w="1562" w:type="dxa"/>
            <w:vAlign w:val="center"/>
          </w:tcPr>
          <w:p>
            <w:pPr>
              <w:pStyle w:val="16"/>
            </w:pPr>
            <w:r>
              <w:t>≤1万元/份</w:t>
            </w:r>
          </w:p>
        </w:tc>
        <w:tc>
          <w:tcPr>
            <w:tcW w:w="4582" w:type="dxa"/>
            <w:vAlign w:val="center"/>
          </w:tcPr>
          <w:p>
            <w:pPr>
              <w:pStyle w:val="16"/>
            </w:pPr>
            <w:r>
              <w:t>达到目标值得满分每降低1%扣权重分10%，扣完为止。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成本指标</w:t>
            </w:r>
          </w:p>
        </w:tc>
        <w:tc>
          <w:tcPr>
            <w:tcW w:w="2273" w:type="dxa"/>
            <w:vAlign w:val="center"/>
          </w:tcPr>
          <w:p>
            <w:pPr>
              <w:pStyle w:val="16"/>
            </w:pPr>
            <w:r>
              <w:t>法律风险评估平均成本</w:t>
            </w:r>
          </w:p>
        </w:tc>
        <w:tc>
          <w:tcPr>
            <w:tcW w:w="3727" w:type="dxa"/>
            <w:vAlign w:val="center"/>
          </w:tcPr>
          <w:p>
            <w:pPr>
              <w:pStyle w:val="16"/>
            </w:pPr>
            <w:r>
              <w:t>考察法律风险评估平均成本控制情况</w:t>
            </w:r>
          </w:p>
        </w:tc>
        <w:tc>
          <w:tcPr>
            <w:tcW w:w="1562" w:type="dxa"/>
            <w:vAlign w:val="center"/>
          </w:tcPr>
          <w:p>
            <w:pPr>
              <w:pStyle w:val="16"/>
            </w:pPr>
            <w:r>
              <w:t>≤0.4万元/份</w:t>
            </w:r>
          </w:p>
        </w:tc>
        <w:tc>
          <w:tcPr>
            <w:tcW w:w="4582" w:type="dxa"/>
            <w:vAlign w:val="center"/>
          </w:tcPr>
          <w:p>
            <w:pPr>
              <w:pStyle w:val="16"/>
            </w:pPr>
            <w:r>
              <w:t>达到目标值得满分每降低1%扣权重分10%，扣完为止。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成本指标</w:t>
            </w:r>
          </w:p>
        </w:tc>
        <w:tc>
          <w:tcPr>
            <w:tcW w:w="2273" w:type="dxa"/>
            <w:vAlign w:val="center"/>
          </w:tcPr>
          <w:p>
            <w:pPr>
              <w:pStyle w:val="16"/>
            </w:pPr>
            <w:r>
              <w:t>法律事务咨询平均成本</w:t>
            </w:r>
          </w:p>
        </w:tc>
        <w:tc>
          <w:tcPr>
            <w:tcW w:w="3727" w:type="dxa"/>
            <w:vAlign w:val="center"/>
          </w:tcPr>
          <w:p>
            <w:pPr>
              <w:pStyle w:val="16"/>
            </w:pPr>
            <w:r>
              <w:t>考察法律事务咨询平均成本控制情况</w:t>
            </w:r>
          </w:p>
        </w:tc>
        <w:tc>
          <w:tcPr>
            <w:tcW w:w="1562" w:type="dxa"/>
            <w:vAlign w:val="center"/>
          </w:tcPr>
          <w:p>
            <w:pPr>
              <w:pStyle w:val="16"/>
            </w:pPr>
            <w:r>
              <w:t>≤0.3万元/份</w:t>
            </w:r>
          </w:p>
        </w:tc>
        <w:tc>
          <w:tcPr>
            <w:tcW w:w="4582" w:type="dxa"/>
            <w:vAlign w:val="center"/>
          </w:tcPr>
          <w:p>
            <w:pPr>
              <w:pStyle w:val="16"/>
            </w:pPr>
            <w:r>
              <w:t>达到目标值得满分每降低1%扣权重分10%，扣完为止。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成本指标</w:t>
            </w:r>
          </w:p>
        </w:tc>
        <w:tc>
          <w:tcPr>
            <w:tcW w:w="2273" w:type="dxa"/>
            <w:vAlign w:val="center"/>
          </w:tcPr>
          <w:p>
            <w:pPr>
              <w:pStyle w:val="16"/>
            </w:pPr>
            <w:r>
              <w:t>法律咨询函平均成本</w:t>
            </w:r>
          </w:p>
        </w:tc>
        <w:tc>
          <w:tcPr>
            <w:tcW w:w="3727" w:type="dxa"/>
            <w:vAlign w:val="center"/>
          </w:tcPr>
          <w:p>
            <w:pPr>
              <w:pStyle w:val="16"/>
            </w:pPr>
            <w:r>
              <w:t>考察法律咨询函平均成本控制情况</w:t>
            </w:r>
          </w:p>
        </w:tc>
        <w:tc>
          <w:tcPr>
            <w:tcW w:w="1562" w:type="dxa"/>
            <w:vAlign w:val="center"/>
          </w:tcPr>
          <w:p>
            <w:pPr>
              <w:pStyle w:val="16"/>
            </w:pPr>
            <w:r>
              <w:t>≤0.5万元/份</w:t>
            </w:r>
          </w:p>
        </w:tc>
        <w:tc>
          <w:tcPr>
            <w:tcW w:w="4582" w:type="dxa"/>
            <w:vAlign w:val="center"/>
          </w:tcPr>
          <w:p>
            <w:pPr>
              <w:pStyle w:val="16"/>
            </w:pPr>
            <w:r>
              <w:t>达到目标值得满分每降低1%扣权重分10%，扣完为止。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成本指标</w:t>
            </w:r>
          </w:p>
        </w:tc>
        <w:tc>
          <w:tcPr>
            <w:tcW w:w="2273" w:type="dxa"/>
            <w:vAlign w:val="center"/>
          </w:tcPr>
          <w:p>
            <w:pPr>
              <w:pStyle w:val="16"/>
            </w:pPr>
            <w:r>
              <w:t>法律事务服务总成本</w:t>
            </w:r>
          </w:p>
        </w:tc>
        <w:tc>
          <w:tcPr>
            <w:tcW w:w="3727" w:type="dxa"/>
            <w:vAlign w:val="center"/>
          </w:tcPr>
          <w:p>
            <w:pPr>
              <w:pStyle w:val="16"/>
            </w:pPr>
            <w:r>
              <w:t>考察法律事务服务总成本控制情况</w:t>
            </w:r>
          </w:p>
        </w:tc>
        <w:tc>
          <w:tcPr>
            <w:tcW w:w="1562" w:type="dxa"/>
            <w:vAlign w:val="center"/>
          </w:tcPr>
          <w:p>
            <w:pPr>
              <w:pStyle w:val="16"/>
            </w:pPr>
            <w:r>
              <w:t>≤20万元</w:t>
            </w:r>
          </w:p>
        </w:tc>
        <w:tc>
          <w:tcPr>
            <w:tcW w:w="4582" w:type="dxa"/>
            <w:vAlign w:val="center"/>
          </w:tcPr>
          <w:p>
            <w:pPr>
              <w:pStyle w:val="16"/>
            </w:pPr>
            <w:r>
              <w:t>控制在预算范围内得满分，每降低1%扣权重分10%，扣完为止。</w:t>
            </w:r>
          </w:p>
        </w:tc>
      </w:tr>
      <w:tr>
        <w:trPr>
          <w:trHeight w:val="397" w:hRule="atLeast"/>
          <w:jc w:val="center"/>
        </w:trPr>
        <w:tc>
          <w:tcPr>
            <w:tcW w:w="1399" w:type="dxa"/>
            <w:vMerge w:val="restart"/>
            <w:vAlign w:val="center"/>
          </w:tcPr>
          <w:p>
            <w:pPr>
              <w:pStyle w:val="17"/>
            </w:pPr>
            <w:r>
              <w:t>效益指标</w:t>
            </w:r>
          </w:p>
        </w:tc>
        <w:tc>
          <w:tcPr>
            <w:tcW w:w="1253" w:type="dxa"/>
            <w:vAlign w:val="center"/>
          </w:tcPr>
          <w:p>
            <w:pPr>
              <w:pStyle w:val="16"/>
            </w:pPr>
            <w:r>
              <w:t>社会效益指标</w:t>
            </w:r>
          </w:p>
        </w:tc>
        <w:tc>
          <w:tcPr>
            <w:tcW w:w="2273" w:type="dxa"/>
            <w:vAlign w:val="center"/>
          </w:tcPr>
          <w:p>
            <w:pPr>
              <w:pStyle w:val="16"/>
            </w:pPr>
            <w:r>
              <w:t>提高综合执法公信力</w:t>
            </w:r>
          </w:p>
        </w:tc>
        <w:tc>
          <w:tcPr>
            <w:tcW w:w="3727" w:type="dxa"/>
            <w:vAlign w:val="center"/>
          </w:tcPr>
          <w:p>
            <w:pPr>
              <w:pStyle w:val="16"/>
            </w:pPr>
            <w:r>
              <w:t>提高综合执法公信力</w:t>
            </w:r>
          </w:p>
        </w:tc>
        <w:tc>
          <w:tcPr>
            <w:tcW w:w="1562" w:type="dxa"/>
            <w:vAlign w:val="center"/>
          </w:tcPr>
          <w:p>
            <w:pPr>
              <w:pStyle w:val="16"/>
            </w:pPr>
            <w:r>
              <w:t>提高</w:t>
            </w:r>
          </w:p>
        </w:tc>
        <w:tc>
          <w:tcPr>
            <w:tcW w:w="4582" w:type="dxa"/>
            <w:vAlign w:val="center"/>
          </w:tcPr>
          <w:p>
            <w:pPr>
              <w:pStyle w:val="16"/>
            </w:pPr>
            <w:r>
              <w:t>有效提高得满分，每降低1%扣权重分10%，扣完为止。</w:t>
            </w:r>
          </w:p>
        </w:tc>
      </w:tr>
      <w:tr>
        <w:trPr>
          <w:trHeight w:val="397" w:hRule="atLeast"/>
          <w:jc w:val="center"/>
        </w:trPr>
        <w:tc>
          <w:tcPr>
            <w:tcW w:w="1399" w:type="dxa"/>
            <w:vMerge w:val="continue"/>
            <w:vAlign w:val="center"/>
          </w:tcPr>
          <w:p/>
        </w:tc>
        <w:tc>
          <w:tcPr>
            <w:tcW w:w="1253" w:type="dxa"/>
            <w:vAlign w:val="center"/>
          </w:tcPr>
          <w:p>
            <w:pPr>
              <w:pStyle w:val="16"/>
            </w:pPr>
            <w:r>
              <w:t>社会效益指标</w:t>
            </w:r>
          </w:p>
        </w:tc>
        <w:tc>
          <w:tcPr>
            <w:tcW w:w="2273" w:type="dxa"/>
            <w:vAlign w:val="center"/>
          </w:tcPr>
          <w:p>
            <w:pPr>
              <w:pStyle w:val="16"/>
            </w:pPr>
            <w:r>
              <w:t>纠正执法过程中不当行为</w:t>
            </w:r>
          </w:p>
        </w:tc>
        <w:tc>
          <w:tcPr>
            <w:tcW w:w="3727" w:type="dxa"/>
            <w:vAlign w:val="center"/>
          </w:tcPr>
          <w:p>
            <w:pPr>
              <w:pStyle w:val="16"/>
            </w:pPr>
            <w:r>
              <w:t>纠正执法过程中不当行为</w:t>
            </w:r>
          </w:p>
        </w:tc>
        <w:tc>
          <w:tcPr>
            <w:tcW w:w="1562" w:type="dxa"/>
            <w:vAlign w:val="center"/>
          </w:tcPr>
          <w:p>
            <w:pPr>
              <w:pStyle w:val="16"/>
            </w:pPr>
            <w:r>
              <w:t>纠正</w:t>
            </w:r>
          </w:p>
        </w:tc>
        <w:tc>
          <w:tcPr>
            <w:tcW w:w="4582" w:type="dxa"/>
            <w:vAlign w:val="center"/>
          </w:tcPr>
          <w:p>
            <w:pPr>
              <w:pStyle w:val="16"/>
            </w:pPr>
            <w:r>
              <w:t>纠正得满分，未纠正每降低1%扣权重分10%，扣完为止。</w:t>
            </w:r>
          </w:p>
        </w:tc>
      </w:tr>
      <w:tr>
        <w:trPr>
          <w:trHeight w:val="397" w:hRule="atLeast"/>
          <w:jc w:val="center"/>
        </w:trPr>
        <w:tc>
          <w:tcPr>
            <w:tcW w:w="1399" w:type="dxa"/>
            <w:vAlign w:val="center"/>
          </w:tcPr>
          <w:p>
            <w:pPr>
              <w:pStyle w:val="17"/>
            </w:pPr>
            <w:r>
              <w:t>满意度指标</w:t>
            </w:r>
          </w:p>
        </w:tc>
        <w:tc>
          <w:tcPr>
            <w:tcW w:w="1253" w:type="dxa"/>
            <w:vAlign w:val="center"/>
          </w:tcPr>
          <w:p>
            <w:pPr>
              <w:pStyle w:val="16"/>
            </w:pPr>
            <w:r>
              <w:t>服务对象满意度指标</w:t>
            </w:r>
          </w:p>
        </w:tc>
        <w:tc>
          <w:tcPr>
            <w:tcW w:w="2273" w:type="dxa"/>
            <w:vAlign w:val="center"/>
          </w:tcPr>
          <w:p>
            <w:pPr>
              <w:pStyle w:val="16"/>
            </w:pPr>
            <w:r>
              <w:t>执法人员满意度</w:t>
            </w:r>
          </w:p>
        </w:tc>
        <w:tc>
          <w:tcPr>
            <w:tcW w:w="3727" w:type="dxa"/>
            <w:vAlign w:val="center"/>
          </w:tcPr>
          <w:p>
            <w:pPr>
              <w:pStyle w:val="16"/>
            </w:pPr>
            <w:r>
              <w:t>执法人员对提供法律事务服务满意人数/调查总人数*100%</w:t>
            </w:r>
          </w:p>
        </w:tc>
        <w:tc>
          <w:tcPr>
            <w:tcW w:w="1562" w:type="dxa"/>
            <w:vAlign w:val="center"/>
          </w:tcPr>
          <w:p>
            <w:pPr>
              <w:pStyle w:val="16"/>
            </w:pPr>
            <w:r>
              <w:t>≥90%</w:t>
            </w:r>
          </w:p>
        </w:tc>
        <w:tc>
          <w:tcPr>
            <w:tcW w:w="4582" w:type="dxa"/>
            <w:vAlign w:val="center"/>
          </w:tcPr>
          <w:p>
            <w:pPr>
              <w:pStyle w:val="16"/>
            </w:pPr>
            <w:r>
              <w:t>达到目标值得满分，每降低1%，扣权重分10%，扣完为止。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、医疗卫生咨询费绩效目标表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1.通过购买第三方咨询服务，保证在科学调研的基础上，指导九州医院建设，协助引进全国优秀医疗资源，引进优质医疗卫生人才和优秀管理团队，提升公共卫生服务水平。</w:t>
            </w:r>
          </w:p>
          <w:p>
            <w:pPr>
              <w:pStyle w:val="16"/>
            </w:pPr>
            <w:r>
              <w:t>2.明确九州医院运营模式和专科学科，2022年年底前解决医疗专项设计方案不确定制约工程进度问题，及后续医院运营方向等问题。</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工作成果报告</w:t>
            </w:r>
          </w:p>
        </w:tc>
        <w:tc>
          <w:tcPr>
            <w:tcW w:w="2835" w:type="dxa"/>
            <w:vAlign w:val="center"/>
          </w:tcPr>
          <w:p>
            <w:pPr>
              <w:pStyle w:val="16"/>
            </w:pPr>
            <w:r>
              <w:t>成果报告数量</w:t>
            </w:r>
          </w:p>
        </w:tc>
        <w:tc>
          <w:tcPr>
            <w:tcW w:w="2551" w:type="dxa"/>
            <w:vAlign w:val="center"/>
          </w:tcPr>
          <w:p>
            <w:pPr>
              <w:pStyle w:val="16"/>
            </w:pPr>
            <w:r>
              <w:t>≥4套</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第三方公司汇报</w:t>
            </w:r>
          </w:p>
        </w:tc>
        <w:tc>
          <w:tcPr>
            <w:tcW w:w="2835" w:type="dxa"/>
            <w:vAlign w:val="center"/>
          </w:tcPr>
          <w:p>
            <w:pPr>
              <w:pStyle w:val="16"/>
            </w:pPr>
            <w:r>
              <w:t>全年会议讨论及汇报次数</w:t>
            </w:r>
          </w:p>
        </w:tc>
        <w:tc>
          <w:tcPr>
            <w:tcW w:w="2551" w:type="dxa"/>
            <w:vAlign w:val="center"/>
          </w:tcPr>
          <w:p>
            <w:pPr>
              <w:pStyle w:val="16"/>
            </w:pPr>
            <w:r>
              <w:t>≥5次</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成果报告内容解决实际医疗卫生领域建设问题</w:t>
            </w:r>
          </w:p>
        </w:tc>
        <w:tc>
          <w:tcPr>
            <w:tcW w:w="2835" w:type="dxa"/>
            <w:vAlign w:val="center"/>
          </w:tcPr>
          <w:p>
            <w:pPr>
              <w:pStyle w:val="16"/>
            </w:pPr>
            <w:r>
              <w:t>成果报告内容解决实际医疗卫生领域建设问题</w:t>
            </w:r>
          </w:p>
        </w:tc>
        <w:tc>
          <w:tcPr>
            <w:tcW w:w="2551" w:type="dxa"/>
            <w:vAlign w:val="center"/>
          </w:tcPr>
          <w:p>
            <w:pPr>
              <w:pStyle w:val="16"/>
            </w:pPr>
            <w:r>
              <w:t>合格</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w:t>
            </w:r>
          </w:p>
        </w:tc>
        <w:tc>
          <w:tcPr>
            <w:tcW w:w="2835" w:type="dxa"/>
            <w:vAlign w:val="center"/>
          </w:tcPr>
          <w:p>
            <w:pPr>
              <w:pStyle w:val="16"/>
            </w:pPr>
            <w:r>
              <w:t>及时</w:t>
            </w:r>
          </w:p>
        </w:tc>
        <w:tc>
          <w:tcPr>
            <w:tcW w:w="2551" w:type="dxa"/>
            <w:vAlign w:val="center"/>
          </w:tcPr>
          <w:p>
            <w:pPr>
              <w:pStyle w:val="16"/>
            </w:pPr>
            <w:r>
              <w:t>及时</w:t>
            </w:r>
          </w:p>
        </w:tc>
        <w:tc>
          <w:tcPr>
            <w:tcW w:w="2268" w:type="dxa"/>
            <w:vAlign w:val="center"/>
          </w:tcPr>
          <w:p>
            <w:pPr>
              <w:pStyle w:val="16"/>
            </w:pPr>
            <w:r>
              <w:t>实际情况</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总成本在预算内</w:t>
            </w:r>
          </w:p>
        </w:tc>
        <w:tc>
          <w:tcPr>
            <w:tcW w:w="2835" w:type="dxa"/>
            <w:vAlign w:val="center"/>
          </w:tcPr>
          <w:p>
            <w:pPr>
              <w:pStyle w:val="16"/>
            </w:pPr>
            <w:r>
              <w:t>总投资</w:t>
            </w:r>
          </w:p>
        </w:tc>
        <w:tc>
          <w:tcPr>
            <w:tcW w:w="2551" w:type="dxa"/>
            <w:vAlign w:val="center"/>
          </w:tcPr>
          <w:p>
            <w:pPr>
              <w:pStyle w:val="16"/>
            </w:pPr>
            <w:r>
              <w:t>≤20万元</w:t>
            </w:r>
          </w:p>
        </w:tc>
        <w:tc>
          <w:tcPr>
            <w:tcW w:w="2268" w:type="dxa"/>
            <w:vAlign w:val="center"/>
          </w:tcPr>
          <w:p>
            <w:pPr>
              <w:pStyle w:val="16"/>
            </w:pPr>
            <w:r>
              <w:t>合同约定</w:t>
            </w: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保证政务服务</w:t>
            </w:r>
          </w:p>
        </w:tc>
        <w:tc>
          <w:tcPr>
            <w:tcW w:w="2835" w:type="dxa"/>
            <w:vAlign w:val="center"/>
          </w:tcPr>
          <w:p>
            <w:pPr>
              <w:pStyle w:val="16"/>
            </w:pPr>
            <w:r>
              <w:t>解决人手不足问题，保证医疗卫生建设</w:t>
            </w:r>
          </w:p>
        </w:tc>
        <w:tc>
          <w:tcPr>
            <w:tcW w:w="2551" w:type="dxa"/>
            <w:vAlign w:val="center"/>
          </w:tcPr>
          <w:p>
            <w:pPr>
              <w:pStyle w:val="16"/>
            </w:pPr>
            <w:r>
              <w:t>保证</w:t>
            </w:r>
          </w:p>
        </w:tc>
        <w:tc>
          <w:tcPr>
            <w:tcW w:w="2268" w:type="dxa"/>
            <w:vAlign w:val="center"/>
          </w:tcPr>
          <w:p>
            <w:pPr>
              <w:pStyle w:val="16"/>
            </w:pPr>
            <w:r>
              <w:t>实际情况</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服务使用人员满意</w:t>
            </w:r>
          </w:p>
        </w:tc>
        <w:tc>
          <w:tcPr>
            <w:tcW w:w="2835" w:type="dxa"/>
            <w:vAlign w:val="center"/>
          </w:tcPr>
          <w:p>
            <w:pPr>
              <w:pStyle w:val="16"/>
            </w:pPr>
            <w:r>
              <w:t>购买服务人员满意度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、营商环境创新提升服务绩效目标表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聚焦省市营商环境评价体系临空经济区的短板弱项，聘请专业第三方机构对营商环境进行深入调研，包括调研方案制定、营商环境优化报告、问题解决机制，客观分析投资环境不足，并给出预警、解决方法及问题解决方案，为优化营商环境提供可靠参考决策依据。对标国内弡一流营商环境，制定临空经济区营商环境提升工作方案和行动计划，精准补短板强弱项，推动临空经济区营商环境实现质的提升。</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临空营商环境提升工作方案和行动计划</w:t>
            </w:r>
          </w:p>
        </w:tc>
        <w:tc>
          <w:tcPr>
            <w:tcW w:w="2835" w:type="dxa"/>
            <w:vAlign w:val="center"/>
          </w:tcPr>
          <w:p>
            <w:pPr>
              <w:pStyle w:val="16"/>
            </w:pPr>
            <w:r>
              <w:t>形成营商环境提升服务体系</w:t>
            </w:r>
          </w:p>
        </w:tc>
        <w:tc>
          <w:tcPr>
            <w:tcW w:w="2551" w:type="dxa"/>
            <w:vAlign w:val="center"/>
          </w:tcPr>
          <w:p>
            <w:pPr>
              <w:pStyle w:val="16"/>
            </w:pPr>
            <w:r>
              <w:t>1件</w:t>
            </w: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方案计划编制完成及时率</w:t>
            </w:r>
          </w:p>
        </w:tc>
        <w:tc>
          <w:tcPr>
            <w:tcW w:w="2835" w:type="dxa"/>
            <w:vAlign w:val="center"/>
          </w:tcPr>
          <w:p>
            <w:pPr>
              <w:pStyle w:val="16"/>
            </w:pPr>
            <w:r>
              <w:t>按合同计划时间完成方案计划编制的占比</w:t>
            </w:r>
          </w:p>
        </w:tc>
        <w:tc>
          <w:tcPr>
            <w:tcW w:w="2551" w:type="dxa"/>
            <w:vAlign w:val="center"/>
          </w:tcPr>
          <w:p>
            <w:pPr>
              <w:pStyle w:val="16"/>
            </w:pPr>
            <w:r>
              <w:t>100%</w:t>
            </w:r>
          </w:p>
          <w:p>
            <w:pPr>
              <w:pStyle w:val="16"/>
            </w:pP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提升工作成果合格率</w:t>
            </w:r>
          </w:p>
        </w:tc>
        <w:tc>
          <w:tcPr>
            <w:tcW w:w="2835" w:type="dxa"/>
            <w:vAlign w:val="center"/>
          </w:tcPr>
          <w:p>
            <w:pPr>
              <w:pStyle w:val="16"/>
            </w:pPr>
            <w:r>
              <w:t>临空经济区营商环境提升工作合格率</w:t>
            </w:r>
          </w:p>
        </w:tc>
        <w:tc>
          <w:tcPr>
            <w:tcW w:w="2551" w:type="dxa"/>
            <w:vAlign w:val="center"/>
          </w:tcPr>
          <w:p>
            <w:pPr>
              <w:pStyle w:val="16"/>
            </w:pPr>
            <w:r>
              <w:t>100%</w:t>
            </w:r>
          </w:p>
        </w:tc>
        <w:tc>
          <w:tcPr>
            <w:tcW w:w="2268" w:type="dxa"/>
            <w:vAlign w:val="center"/>
          </w:tcPr>
          <w:p>
            <w:pPr>
              <w:pStyle w:val="16"/>
            </w:pPr>
            <w:r>
              <w:t>计划标准</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形成廊坊临空经济区营商环境提升服务体系</w:t>
            </w:r>
          </w:p>
        </w:tc>
        <w:tc>
          <w:tcPr>
            <w:tcW w:w="2835" w:type="dxa"/>
            <w:vAlign w:val="center"/>
          </w:tcPr>
          <w:p>
            <w:pPr>
              <w:pStyle w:val="16"/>
            </w:pPr>
            <w:r>
              <w:t>保证廊坊临空经济区营商环境的优化提升</w:t>
            </w:r>
          </w:p>
        </w:tc>
        <w:tc>
          <w:tcPr>
            <w:tcW w:w="2551" w:type="dxa"/>
            <w:vAlign w:val="center"/>
          </w:tcPr>
          <w:p>
            <w:pPr>
              <w:pStyle w:val="16"/>
            </w:pPr>
            <w:r>
              <w:t>为企业提供协调管理、投资运营、创新创业等服务保障。</w:t>
            </w:r>
          </w:p>
          <w:p>
            <w:pPr>
              <w:pStyle w:val="16"/>
            </w:pPr>
          </w:p>
        </w:tc>
        <w:tc>
          <w:tcPr>
            <w:tcW w:w="2268" w:type="dxa"/>
            <w:vAlign w:val="center"/>
          </w:tcPr>
          <w:p>
            <w:pPr>
              <w:pStyle w:val="16"/>
            </w:pPr>
            <w:r>
              <w:t>计划标准</w:t>
            </w:r>
          </w:p>
        </w:tc>
      </w:tr>
      <w:tr>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有效年限</w:t>
            </w:r>
          </w:p>
        </w:tc>
        <w:tc>
          <w:tcPr>
            <w:tcW w:w="2835" w:type="dxa"/>
            <w:vAlign w:val="center"/>
          </w:tcPr>
          <w:p>
            <w:pPr>
              <w:pStyle w:val="16"/>
            </w:pPr>
            <w:r>
              <w:t>体系方案具有效果的年限</w:t>
            </w:r>
          </w:p>
        </w:tc>
        <w:tc>
          <w:tcPr>
            <w:tcW w:w="2551" w:type="dxa"/>
            <w:vAlign w:val="center"/>
          </w:tcPr>
          <w:p>
            <w:pPr>
              <w:pStyle w:val="16"/>
            </w:pPr>
            <w:r>
              <w:t>≥3年</w:t>
            </w:r>
          </w:p>
        </w:tc>
        <w:tc>
          <w:tcPr>
            <w:tcW w:w="2268" w:type="dxa"/>
            <w:vAlign w:val="center"/>
          </w:tcPr>
          <w:p>
            <w:pPr>
              <w:pStyle w:val="16"/>
            </w:pPr>
            <w:r>
              <w:t>计划标准</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、智慧城市建设资金绩效目标表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廊坊临空通过新型智慧城市建设，以数据流引领资金流、人才流、物资流，构建数字化、智能化基础设施，培育临空经济和创新产业集群，健全多元的公共服务模式，推动区域协同和城乡统筹发展，推动临空经济区治理能力现代化，打造世界一流航空城、国际智能商务区、智慧自贸创新区，全面提升临空经济区现代化、国际化水平。</w:t>
            </w:r>
          </w:p>
          <w:p>
            <w:pPr>
              <w:pStyle w:val="16"/>
            </w:pPr>
            <w:r>
              <w:t>2.完成配套设施的购置，确保项目正常完工或运行。</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56"/>
        <w:gridCol w:w="2227"/>
        <w:gridCol w:w="3773"/>
        <w:gridCol w:w="2008"/>
        <w:gridCol w:w="2466"/>
      </w:tblGrid>
      <w:tr>
        <w:trPr>
          <w:trHeight w:val="397" w:hRule="atLeast"/>
          <w:tblHeader/>
          <w:jc w:val="center"/>
        </w:trPr>
        <w:tc>
          <w:tcPr>
            <w:tcW w:w="2466" w:type="dxa"/>
            <w:vAlign w:val="center"/>
          </w:tcPr>
          <w:p>
            <w:pPr>
              <w:pStyle w:val="14"/>
            </w:pPr>
            <w:r>
              <w:t>一级指标</w:t>
            </w:r>
          </w:p>
        </w:tc>
        <w:tc>
          <w:tcPr>
            <w:tcW w:w="1856" w:type="dxa"/>
            <w:vAlign w:val="center"/>
          </w:tcPr>
          <w:p>
            <w:pPr>
              <w:pStyle w:val="14"/>
            </w:pPr>
            <w:r>
              <w:t>二级指标</w:t>
            </w:r>
          </w:p>
        </w:tc>
        <w:tc>
          <w:tcPr>
            <w:tcW w:w="2227" w:type="dxa"/>
            <w:vAlign w:val="center"/>
          </w:tcPr>
          <w:p>
            <w:pPr>
              <w:pStyle w:val="14"/>
            </w:pPr>
            <w:r>
              <w:t>三级指标</w:t>
            </w:r>
          </w:p>
        </w:tc>
        <w:tc>
          <w:tcPr>
            <w:tcW w:w="3773" w:type="dxa"/>
            <w:vAlign w:val="center"/>
          </w:tcPr>
          <w:p>
            <w:pPr>
              <w:pStyle w:val="14"/>
            </w:pPr>
            <w:r>
              <w:t>绩效指标描述</w:t>
            </w:r>
          </w:p>
        </w:tc>
        <w:tc>
          <w:tcPr>
            <w:tcW w:w="2008"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856" w:type="dxa"/>
            <w:vAlign w:val="center"/>
          </w:tcPr>
          <w:p>
            <w:pPr>
              <w:pStyle w:val="16"/>
            </w:pPr>
            <w:r>
              <w:t>数量指标</w:t>
            </w:r>
          </w:p>
        </w:tc>
        <w:tc>
          <w:tcPr>
            <w:tcW w:w="2227" w:type="dxa"/>
            <w:vAlign w:val="center"/>
          </w:tcPr>
          <w:p>
            <w:pPr>
              <w:pStyle w:val="16"/>
            </w:pPr>
            <w:r>
              <w:t>项目数量</w:t>
            </w:r>
          </w:p>
        </w:tc>
        <w:tc>
          <w:tcPr>
            <w:tcW w:w="3773" w:type="dxa"/>
            <w:vAlign w:val="center"/>
          </w:tcPr>
          <w:p>
            <w:pPr>
              <w:pStyle w:val="16"/>
            </w:pPr>
            <w:r>
              <w:t>考察完成项目个数</w:t>
            </w:r>
          </w:p>
        </w:tc>
        <w:tc>
          <w:tcPr>
            <w:tcW w:w="2008" w:type="dxa"/>
            <w:vAlign w:val="center"/>
          </w:tcPr>
          <w:p>
            <w:pPr>
              <w:pStyle w:val="16"/>
            </w:pPr>
            <w:r>
              <w:t>≥12个</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数量指标</w:t>
            </w:r>
          </w:p>
        </w:tc>
        <w:tc>
          <w:tcPr>
            <w:tcW w:w="2227" w:type="dxa"/>
            <w:vAlign w:val="center"/>
          </w:tcPr>
          <w:p>
            <w:pPr>
              <w:pStyle w:val="16"/>
            </w:pPr>
            <w:r>
              <w:t>发布内容数量</w:t>
            </w:r>
          </w:p>
        </w:tc>
        <w:tc>
          <w:tcPr>
            <w:tcW w:w="3773" w:type="dxa"/>
            <w:vAlign w:val="center"/>
          </w:tcPr>
          <w:p>
            <w:pPr>
              <w:pStyle w:val="16"/>
            </w:pPr>
            <w:r>
              <w:t>考察官方网站发布内容数量情况</w:t>
            </w:r>
          </w:p>
        </w:tc>
        <w:tc>
          <w:tcPr>
            <w:tcW w:w="2008" w:type="dxa"/>
            <w:vAlign w:val="center"/>
          </w:tcPr>
          <w:p>
            <w:pPr>
              <w:pStyle w:val="16"/>
            </w:pPr>
            <w:r>
              <w:t>≥250篇</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数量指标</w:t>
            </w:r>
          </w:p>
        </w:tc>
        <w:tc>
          <w:tcPr>
            <w:tcW w:w="2227" w:type="dxa"/>
            <w:vAlign w:val="center"/>
          </w:tcPr>
          <w:p>
            <w:pPr>
              <w:pStyle w:val="16"/>
            </w:pPr>
            <w:r>
              <w:t>会议终端</w:t>
            </w:r>
          </w:p>
        </w:tc>
        <w:tc>
          <w:tcPr>
            <w:tcW w:w="3773" w:type="dxa"/>
            <w:vAlign w:val="center"/>
          </w:tcPr>
          <w:p>
            <w:pPr>
              <w:pStyle w:val="16"/>
            </w:pPr>
            <w:r>
              <w:t>高清视频会议终端（含摄像机）</w:t>
            </w:r>
          </w:p>
        </w:tc>
        <w:tc>
          <w:tcPr>
            <w:tcW w:w="2008" w:type="dxa"/>
            <w:vAlign w:val="center"/>
          </w:tcPr>
          <w:p>
            <w:pPr>
              <w:pStyle w:val="16"/>
            </w:pPr>
            <w:r>
              <w:t>≥1台</w:t>
            </w:r>
          </w:p>
        </w:tc>
        <w:tc>
          <w:tcPr>
            <w:tcW w:w="2466" w:type="dxa"/>
            <w:vAlign w:val="center"/>
          </w:tcPr>
          <w:p>
            <w:pPr>
              <w:pStyle w:val="16"/>
            </w:pPr>
            <w:r>
              <w:t>临空经济区财政支付中心网络系统建设方案</w:t>
            </w:r>
          </w:p>
        </w:tc>
      </w:tr>
      <w:tr>
        <w:trPr>
          <w:trHeight w:val="397" w:hRule="atLeast"/>
          <w:jc w:val="center"/>
        </w:trPr>
        <w:tc>
          <w:tcPr>
            <w:tcW w:w="2466" w:type="dxa"/>
            <w:vMerge w:val="continue"/>
            <w:vAlign w:val="center"/>
          </w:tcPr>
          <w:p/>
        </w:tc>
        <w:tc>
          <w:tcPr>
            <w:tcW w:w="1856" w:type="dxa"/>
            <w:vAlign w:val="center"/>
          </w:tcPr>
          <w:p>
            <w:pPr>
              <w:pStyle w:val="16"/>
            </w:pPr>
            <w:r>
              <w:t>数量指标</w:t>
            </w:r>
          </w:p>
        </w:tc>
        <w:tc>
          <w:tcPr>
            <w:tcW w:w="2227" w:type="dxa"/>
            <w:vAlign w:val="center"/>
          </w:tcPr>
          <w:p>
            <w:pPr>
              <w:pStyle w:val="16"/>
            </w:pPr>
            <w:r>
              <w:t>督查督办软件平台开发数量</w:t>
            </w:r>
          </w:p>
        </w:tc>
        <w:tc>
          <w:tcPr>
            <w:tcW w:w="3773" w:type="dxa"/>
            <w:vAlign w:val="center"/>
          </w:tcPr>
          <w:p>
            <w:pPr>
              <w:pStyle w:val="16"/>
            </w:pPr>
            <w:r>
              <w:t>督查督办软件平台开发数量</w:t>
            </w:r>
          </w:p>
        </w:tc>
        <w:tc>
          <w:tcPr>
            <w:tcW w:w="2008" w:type="dxa"/>
            <w:vAlign w:val="center"/>
          </w:tcPr>
          <w:p>
            <w:pPr>
              <w:pStyle w:val="16"/>
            </w:pPr>
            <w:r>
              <w:t>1套</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数量指标</w:t>
            </w:r>
          </w:p>
        </w:tc>
        <w:tc>
          <w:tcPr>
            <w:tcW w:w="2227" w:type="dxa"/>
            <w:vAlign w:val="center"/>
          </w:tcPr>
          <w:p>
            <w:pPr>
              <w:pStyle w:val="16"/>
            </w:pPr>
            <w:r>
              <w:t>智慧物流平台数量</w:t>
            </w:r>
          </w:p>
        </w:tc>
        <w:tc>
          <w:tcPr>
            <w:tcW w:w="3773" w:type="dxa"/>
            <w:vAlign w:val="center"/>
          </w:tcPr>
          <w:p>
            <w:pPr>
              <w:pStyle w:val="16"/>
            </w:pPr>
            <w:r>
              <w:t>考察智慧物流成平台数量</w:t>
            </w:r>
          </w:p>
        </w:tc>
        <w:tc>
          <w:tcPr>
            <w:tcW w:w="2008" w:type="dxa"/>
            <w:vAlign w:val="center"/>
          </w:tcPr>
          <w:p>
            <w:pPr>
              <w:pStyle w:val="16"/>
            </w:pPr>
            <w:r>
              <w:t>1个</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数量指标</w:t>
            </w:r>
          </w:p>
        </w:tc>
        <w:tc>
          <w:tcPr>
            <w:tcW w:w="2227" w:type="dxa"/>
            <w:vAlign w:val="center"/>
          </w:tcPr>
          <w:p>
            <w:pPr>
              <w:pStyle w:val="16"/>
            </w:pPr>
            <w:r>
              <w:t>驻场人员数量</w:t>
            </w:r>
          </w:p>
        </w:tc>
        <w:tc>
          <w:tcPr>
            <w:tcW w:w="3773" w:type="dxa"/>
            <w:vAlign w:val="center"/>
          </w:tcPr>
          <w:p>
            <w:pPr>
              <w:pStyle w:val="16"/>
            </w:pPr>
            <w:r>
              <w:t>驻场维护人员数量</w:t>
            </w:r>
          </w:p>
        </w:tc>
        <w:tc>
          <w:tcPr>
            <w:tcW w:w="2008" w:type="dxa"/>
            <w:vAlign w:val="center"/>
          </w:tcPr>
          <w:p>
            <w:pPr>
              <w:pStyle w:val="16"/>
            </w:pPr>
            <w:r>
              <w:t>≥1人</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质量指标</w:t>
            </w:r>
          </w:p>
        </w:tc>
        <w:tc>
          <w:tcPr>
            <w:tcW w:w="2227" w:type="dxa"/>
            <w:vAlign w:val="center"/>
          </w:tcPr>
          <w:p>
            <w:pPr>
              <w:pStyle w:val="16"/>
            </w:pPr>
            <w:r>
              <w:t>网站安全</w:t>
            </w:r>
          </w:p>
        </w:tc>
        <w:tc>
          <w:tcPr>
            <w:tcW w:w="3773" w:type="dxa"/>
            <w:vAlign w:val="center"/>
          </w:tcPr>
          <w:p>
            <w:pPr>
              <w:pStyle w:val="16"/>
            </w:pPr>
            <w:r>
              <w:t>完善检测系统，保障网站安全</w:t>
            </w:r>
          </w:p>
        </w:tc>
        <w:tc>
          <w:tcPr>
            <w:tcW w:w="2008" w:type="dxa"/>
            <w:vAlign w:val="center"/>
          </w:tcPr>
          <w:p>
            <w:pPr>
              <w:pStyle w:val="16"/>
            </w:pPr>
            <w:r>
              <w:t>≥365天</w:t>
            </w:r>
          </w:p>
        </w:tc>
        <w:tc>
          <w:tcPr>
            <w:tcW w:w="2466" w:type="dxa"/>
            <w:vAlign w:val="center"/>
          </w:tcPr>
          <w:p>
            <w:pPr>
              <w:pStyle w:val="16"/>
            </w:pPr>
            <w:r>
              <w:t>实际工作需求</w:t>
            </w:r>
          </w:p>
        </w:tc>
      </w:tr>
      <w:tr>
        <w:trPr>
          <w:trHeight w:val="397" w:hRule="atLeast"/>
          <w:jc w:val="center"/>
        </w:trPr>
        <w:tc>
          <w:tcPr>
            <w:tcW w:w="2466" w:type="dxa"/>
            <w:vMerge w:val="continue"/>
            <w:vAlign w:val="center"/>
          </w:tcPr>
          <w:p/>
        </w:tc>
        <w:tc>
          <w:tcPr>
            <w:tcW w:w="1856" w:type="dxa"/>
            <w:vAlign w:val="center"/>
          </w:tcPr>
          <w:p>
            <w:pPr>
              <w:pStyle w:val="16"/>
            </w:pPr>
            <w:r>
              <w:t>质量指标</w:t>
            </w:r>
          </w:p>
        </w:tc>
        <w:tc>
          <w:tcPr>
            <w:tcW w:w="2227" w:type="dxa"/>
            <w:vAlign w:val="center"/>
          </w:tcPr>
          <w:p>
            <w:pPr>
              <w:pStyle w:val="16"/>
            </w:pPr>
            <w:r>
              <w:t>项目验收合格率</w:t>
            </w:r>
          </w:p>
        </w:tc>
        <w:tc>
          <w:tcPr>
            <w:tcW w:w="3773" w:type="dxa"/>
            <w:vAlign w:val="center"/>
          </w:tcPr>
          <w:p>
            <w:pPr>
              <w:pStyle w:val="16"/>
            </w:pPr>
            <w:r>
              <w:t>验收合格项目占总项目比率</w:t>
            </w:r>
          </w:p>
        </w:tc>
        <w:tc>
          <w:tcPr>
            <w:tcW w:w="2008"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质量指标</w:t>
            </w:r>
          </w:p>
        </w:tc>
        <w:tc>
          <w:tcPr>
            <w:tcW w:w="2227" w:type="dxa"/>
            <w:vAlign w:val="center"/>
          </w:tcPr>
          <w:p>
            <w:pPr>
              <w:pStyle w:val="16"/>
            </w:pPr>
            <w:r>
              <w:t>平台使用率</w:t>
            </w:r>
          </w:p>
        </w:tc>
        <w:tc>
          <w:tcPr>
            <w:tcW w:w="3773" w:type="dxa"/>
            <w:vAlign w:val="center"/>
          </w:tcPr>
          <w:p>
            <w:pPr>
              <w:pStyle w:val="16"/>
            </w:pPr>
            <w:r>
              <w:t>实际使用天数/计划使用天数*100%</w:t>
            </w:r>
          </w:p>
        </w:tc>
        <w:tc>
          <w:tcPr>
            <w:tcW w:w="2008" w:type="dxa"/>
            <w:vAlign w:val="center"/>
          </w:tcPr>
          <w:p>
            <w:pPr>
              <w:pStyle w:val="16"/>
            </w:pPr>
            <w:r>
              <w:t>≥90%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质量指标</w:t>
            </w:r>
          </w:p>
        </w:tc>
        <w:tc>
          <w:tcPr>
            <w:tcW w:w="2227" w:type="dxa"/>
            <w:vAlign w:val="center"/>
          </w:tcPr>
          <w:p>
            <w:pPr>
              <w:pStyle w:val="16"/>
            </w:pPr>
            <w:r>
              <w:t>系统及设备故障处理率</w:t>
            </w:r>
          </w:p>
        </w:tc>
        <w:tc>
          <w:tcPr>
            <w:tcW w:w="3773" w:type="dxa"/>
            <w:vAlign w:val="center"/>
          </w:tcPr>
          <w:p>
            <w:pPr>
              <w:pStyle w:val="16"/>
            </w:pPr>
            <w:r>
              <w:t>系统及设备故障处理数/总故障数</w:t>
            </w:r>
          </w:p>
        </w:tc>
        <w:tc>
          <w:tcPr>
            <w:tcW w:w="2008" w:type="dxa"/>
            <w:vAlign w:val="center"/>
          </w:tcPr>
          <w:p>
            <w:pPr>
              <w:pStyle w:val="16"/>
            </w:pPr>
            <w:r>
              <w:t>100%</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质量指标</w:t>
            </w:r>
          </w:p>
        </w:tc>
        <w:tc>
          <w:tcPr>
            <w:tcW w:w="2227" w:type="dxa"/>
            <w:vAlign w:val="center"/>
          </w:tcPr>
          <w:p>
            <w:pPr>
              <w:pStyle w:val="16"/>
            </w:pPr>
            <w:r>
              <w:t>纸质资料归档数量合格率</w:t>
            </w:r>
          </w:p>
        </w:tc>
        <w:tc>
          <w:tcPr>
            <w:tcW w:w="3773" w:type="dxa"/>
            <w:vAlign w:val="center"/>
          </w:tcPr>
          <w:p>
            <w:pPr>
              <w:pStyle w:val="16"/>
            </w:pPr>
            <w:r>
              <w:t>考察整理完成的档案是否符合档案整理规范的情况（合格数量/总数量）</w:t>
            </w:r>
          </w:p>
        </w:tc>
        <w:tc>
          <w:tcPr>
            <w:tcW w:w="2008" w:type="dxa"/>
            <w:vAlign w:val="center"/>
          </w:tcPr>
          <w:p>
            <w:pPr>
              <w:pStyle w:val="16"/>
            </w:pPr>
            <w:r>
              <w:t>100%</w:t>
            </w:r>
          </w:p>
        </w:tc>
        <w:tc>
          <w:tcPr>
            <w:tcW w:w="2466" w:type="dxa"/>
            <w:vAlign w:val="center"/>
          </w:tcPr>
          <w:p>
            <w:pPr>
              <w:pStyle w:val="16"/>
            </w:pPr>
            <w:r>
              <w:t>验收报告</w:t>
            </w:r>
          </w:p>
        </w:tc>
      </w:tr>
      <w:tr>
        <w:trPr>
          <w:trHeight w:val="397" w:hRule="atLeast"/>
          <w:jc w:val="center"/>
        </w:trPr>
        <w:tc>
          <w:tcPr>
            <w:tcW w:w="2466" w:type="dxa"/>
            <w:vMerge w:val="continue"/>
            <w:vAlign w:val="center"/>
          </w:tcPr>
          <w:p/>
        </w:tc>
        <w:tc>
          <w:tcPr>
            <w:tcW w:w="1856" w:type="dxa"/>
            <w:vAlign w:val="center"/>
          </w:tcPr>
          <w:p>
            <w:pPr>
              <w:pStyle w:val="16"/>
            </w:pPr>
            <w:r>
              <w:t>时效指标</w:t>
            </w:r>
          </w:p>
        </w:tc>
        <w:tc>
          <w:tcPr>
            <w:tcW w:w="2227" w:type="dxa"/>
            <w:vAlign w:val="center"/>
          </w:tcPr>
          <w:p>
            <w:pPr>
              <w:pStyle w:val="16"/>
            </w:pPr>
            <w:r>
              <w:t>项目完成及时性</w:t>
            </w:r>
          </w:p>
        </w:tc>
        <w:tc>
          <w:tcPr>
            <w:tcW w:w="3773" w:type="dxa"/>
            <w:vAlign w:val="center"/>
          </w:tcPr>
          <w:p>
            <w:pPr>
              <w:pStyle w:val="16"/>
            </w:pPr>
            <w:r>
              <w:t>考察项目是否及时完成</w:t>
            </w:r>
          </w:p>
        </w:tc>
        <w:tc>
          <w:tcPr>
            <w:tcW w:w="2008" w:type="dxa"/>
            <w:vAlign w:val="center"/>
          </w:tcPr>
          <w:p>
            <w:pPr>
              <w:pStyle w:val="16"/>
            </w:pPr>
            <w:r>
              <w:t>及时</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成本指标</w:t>
            </w:r>
          </w:p>
        </w:tc>
        <w:tc>
          <w:tcPr>
            <w:tcW w:w="2227" w:type="dxa"/>
            <w:vAlign w:val="center"/>
          </w:tcPr>
          <w:p>
            <w:pPr>
              <w:pStyle w:val="16"/>
            </w:pPr>
            <w:r>
              <w:t>项目总成本</w:t>
            </w:r>
          </w:p>
        </w:tc>
        <w:tc>
          <w:tcPr>
            <w:tcW w:w="3773" w:type="dxa"/>
            <w:vAlign w:val="center"/>
          </w:tcPr>
          <w:p>
            <w:pPr>
              <w:pStyle w:val="16"/>
            </w:pPr>
            <w:r>
              <w:t>考察项目总成本控制情况</w:t>
            </w:r>
          </w:p>
        </w:tc>
        <w:tc>
          <w:tcPr>
            <w:tcW w:w="2008" w:type="dxa"/>
            <w:vAlign w:val="center"/>
          </w:tcPr>
          <w:p>
            <w:pPr>
              <w:pStyle w:val="16"/>
            </w:pPr>
            <w:r>
              <w:t>≤1900万元</w:t>
            </w:r>
          </w:p>
        </w:tc>
        <w:tc>
          <w:tcPr>
            <w:tcW w:w="2466" w:type="dxa"/>
            <w:vAlign w:val="center"/>
          </w:tcPr>
          <w:p>
            <w:pPr>
              <w:pStyle w:val="16"/>
            </w:pPr>
            <w:r>
              <w:t>工作计划</w:t>
            </w:r>
          </w:p>
        </w:tc>
      </w:tr>
      <w:tr>
        <w:trPr>
          <w:trHeight w:val="397" w:hRule="atLeast"/>
          <w:jc w:val="center"/>
        </w:trPr>
        <w:tc>
          <w:tcPr>
            <w:tcW w:w="2466" w:type="dxa"/>
            <w:vMerge w:val="restart"/>
            <w:vAlign w:val="center"/>
          </w:tcPr>
          <w:p>
            <w:pPr>
              <w:pStyle w:val="17"/>
            </w:pPr>
            <w:r>
              <w:t>效益指标</w:t>
            </w:r>
          </w:p>
        </w:tc>
        <w:tc>
          <w:tcPr>
            <w:tcW w:w="1856" w:type="dxa"/>
            <w:vAlign w:val="center"/>
          </w:tcPr>
          <w:p>
            <w:pPr>
              <w:pStyle w:val="16"/>
            </w:pPr>
            <w:r>
              <w:t>社会效益指标</w:t>
            </w:r>
          </w:p>
        </w:tc>
        <w:tc>
          <w:tcPr>
            <w:tcW w:w="2227" w:type="dxa"/>
            <w:vAlign w:val="center"/>
          </w:tcPr>
          <w:p>
            <w:pPr>
              <w:pStyle w:val="16"/>
            </w:pPr>
            <w:r>
              <w:t>知名度</w:t>
            </w:r>
          </w:p>
        </w:tc>
        <w:tc>
          <w:tcPr>
            <w:tcW w:w="3773" w:type="dxa"/>
            <w:vAlign w:val="center"/>
          </w:tcPr>
          <w:p>
            <w:pPr>
              <w:pStyle w:val="16"/>
            </w:pPr>
            <w:r>
              <w:t>他提升临空经济区知名度，助力招商引资。</w:t>
            </w:r>
          </w:p>
        </w:tc>
        <w:tc>
          <w:tcPr>
            <w:tcW w:w="2008" w:type="dxa"/>
            <w:vAlign w:val="center"/>
          </w:tcPr>
          <w:p>
            <w:pPr>
              <w:pStyle w:val="16"/>
            </w:pPr>
            <w:r>
              <w:t>有效</w:t>
            </w:r>
          </w:p>
        </w:tc>
        <w:tc>
          <w:tcPr>
            <w:tcW w:w="2466" w:type="dxa"/>
            <w:vAlign w:val="center"/>
          </w:tcPr>
          <w:p>
            <w:pPr>
              <w:pStyle w:val="16"/>
            </w:pPr>
            <w:r>
              <w:t>工作计划</w:t>
            </w:r>
          </w:p>
        </w:tc>
      </w:tr>
      <w:tr>
        <w:trPr>
          <w:trHeight w:val="397" w:hRule="atLeast"/>
          <w:jc w:val="center"/>
        </w:trPr>
        <w:tc>
          <w:tcPr>
            <w:tcW w:w="2466" w:type="dxa"/>
            <w:vMerge w:val="continue"/>
            <w:vAlign w:val="center"/>
          </w:tcPr>
          <w:p/>
        </w:tc>
        <w:tc>
          <w:tcPr>
            <w:tcW w:w="1856" w:type="dxa"/>
            <w:vAlign w:val="center"/>
          </w:tcPr>
          <w:p>
            <w:pPr>
              <w:pStyle w:val="16"/>
            </w:pPr>
            <w:r>
              <w:t>社会效益指标</w:t>
            </w:r>
          </w:p>
        </w:tc>
        <w:tc>
          <w:tcPr>
            <w:tcW w:w="2227" w:type="dxa"/>
            <w:vAlign w:val="center"/>
          </w:tcPr>
          <w:p>
            <w:pPr>
              <w:pStyle w:val="16"/>
            </w:pPr>
            <w:r>
              <w:t>提升办公效率</w:t>
            </w:r>
          </w:p>
        </w:tc>
        <w:tc>
          <w:tcPr>
            <w:tcW w:w="3773" w:type="dxa"/>
            <w:vAlign w:val="center"/>
          </w:tcPr>
          <w:p>
            <w:pPr>
              <w:pStyle w:val="16"/>
            </w:pPr>
            <w:r>
              <w:t>事件流转速度和服务水平明显提升</w:t>
            </w:r>
          </w:p>
        </w:tc>
        <w:tc>
          <w:tcPr>
            <w:tcW w:w="2008" w:type="dxa"/>
            <w:vAlign w:val="center"/>
          </w:tcPr>
          <w:p>
            <w:pPr>
              <w:pStyle w:val="16"/>
            </w:pPr>
            <w:r>
              <w:t>提升</w:t>
            </w:r>
          </w:p>
        </w:tc>
        <w:tc>
          <w:tcPr>
            <w:tcW w:w="2466" w:type="dxa"/>
            <w:vAlign w:val="center"/>
          </w:tcPr>
          <w:p>
            <w:pPr>
              <w:pStyle w:val="16"/>
            </w:pPr>
            <w:r>
              <w:t>实际情况</w:t>
            </w:r>
          </w:p>
        </w:tc>
      </w:tr>
      <w:tr>
        <w:trPr>
          <w:trHeight w:val="397" w:hRule="atLeast"/>
          <w:jc w:val="center"/>
        </w:trPr>
        <w:tc>
          <w:tcPr>
            <w:tcW w:w="2466" w:type="dxa"/>
            <w:vMerge w:val="restart"/>
            <w:vAlign w:val="center"/>
          </w:tcPr>
          <w:p>
            <w:pPr>
              <w:pStyle w:val="17"/>
            </w:pPr>
            <w:r>
              <w:t>满意度指标</w:t>
            </w:r>
          </w:p>
        </w:tc>
        <w:tc>
          <w:tcPr>
            <w:tcW w:w="1856" w:type="dxa"/>
            <w:vAlign w:val="center"/>
          </w:tcPr>
          <w:p>
            <w:pPr>
              <w:pStyle w:val="16"/>
            </w:pPr>
            <w:r>
              <w:t>服务对象满意度指标</w:t>
            </w:r>
          </w:p>
        </w:tc>
        <w:tc>
          <w:tcPr>
            <w:tcW w:w="2227" w:type="dxa"/>
            <w:vAlign w:val="center"/>
          </w:tcPr>
          <w:p>
            <w:pPr>
              <w:pStyle w:val="16"/>
            </w:pPr>
            <w:r>
              <w:t>主管部门满意度</w:t>
            </w:r>
          </w:p>
        </w:tc>
        <w:tc>
          <w:tcPr>
            <w:tcW w:w="3773" w:type="dxa"/>
            <w:vAlign w:val="center"/>
          </w:tcPr>
          <w:p>
            <w:pPr>
              <w:pStyle w:val="16"/>
            </w:pPr>
            <w:r>
              <w:t>主管部门满意人数/调查总人数*100%</w:t>
            </w:r>
          </w:p>
        </w:tc>
        <w:tc>
          <w:tcPr>
            <w:tcW w:w="2008" w:type="dxa"/>
            <w:vAlign w:val="center"/>
          </w:tcPr>
          <w:p>
            <w:pPr>
              <w:pStyle w:val="16"/>
            </w:pPr>
            <w:r>
              <w:t>≥90%</w:t>
            </w:r>
          </w:p>
        </w:tc>
        <w:tc>
          <w:tcPr>
            <w:tcW w:w="2466" w:type="dxa"/>
            <w:vAlign w:val="center"/>
          </w:tcPr>
          <w:p>
            <w:pPr>
              <w:pStyle w:val="16"/>
            </w:pPr>
            <w:r>
              <w:t>调查问卷</w:t>
            </w:r>
          </w:p>
        </w:tc>
      </w:tr>
      <w:tr>
        <w:trPr>
          <w:trHeight w:val="397" w:hRule="atLeast"/>
          <w:jc w:val="center"/>
        </w:trPr>
        <w:tc>
          <w:tcPr>
            <w:tcW w:w="2466" w:type="dxa"/>
            <w:vMerge w:val="continue"/>
            <w:vAlign w:val="center"/>
          </w:tcPr>
          <w:p/>
        </w:tc>
        <w:tc>
          <w:tcPr>
            <w:tcW w:w="1856" w:type="dxa"/>
            <w:vAlign w:val="center"/>
          </w:tcPr>
          <w:p>
            <w:pPr>
              <w:pStyle w:val="16"/>
            </w:pPr>
            <w:r>
              <w:t>服务对象满意度指标</w:t>
            </w:r>
          </w:p>
        </w:tc>
        <w:tc>
          <w:tcPr>
            <w:tcW w:w="2227" w:type="dxa"/>
            <w:vAlign w:val="center"/>
          </w:tcPr>
          <w:p>
            <w:pPr>
              <w:pStyle w:val="16"/>
            </w:pPr>
            <w:r>
              <w:t>群众满意度</w:t>
            </w:r>
          </w:p>
        </w:tc>
        <w:tc>
          <w:tcPr>
            <w:tcW w:w="3773" w:type="dxa"/>
            <w:vAlign w:val="center"/>
          </w:tcPr>
          <w:p>
            <w:pPr>
              <w:pStyle w:val="16"/>
            </w:pPr>
            <w:r>
              <w:t>群众满意人数/调查总人数*100%</w:t>
            </w:r>
          </w:p>
        </w:tc>
        <w:tc>
          <w:tcPr>
            <w:tcW w:w="2008"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、种质资源普查（二期）绩效目标表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本项目的开展，构筑生物多样性保护网络，加强国家重点保护和珍稀濒危野生动植物及其栖息地的保护修复，加强外来物种管控。完善生态保护和修复用地等政策。完善自然保护地、生态保护红线监管制度，开展生态系统保护成效监测评估。建立廊坊临空经济区林草种质资源数据库，维护区域生态系统的多样性与生态平衡，推动区域生态、经济、社会可持续发展。</w:t>
            </w:r>
          </w:p>
          <w:p>
            <w:pPr>
              <w:pStyle w:val="16"/>
            </w:pPr>
            <w:r>
              <w:t>2.通过本年度项目开展，完成普查样点不少于50个，普查报告一份，项目总成本不高于10万元，项目由自然资源和规划局临空分局负责实施。</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普查样点个数</w:t>
            </w:r>
          </w:p>
        </w:tc>
        <w:tc>
          <w:tcPr>
            <w:tcW w:w="2835" w:type="dxa"/>
            <w:vAlign w:val="center"/>
          </w:tcPr>
          <w:p>
            <w:pPr>
              <w:pStyle w:val="16"/>
            </w:pPr>
            <w:r>
              <w:t>普查样点</w:t>
            </w:r>
          </w:p>
        </w:tc>
        <w:tc>
          <w:tcPr>
            <w:tcW w:w="2551" w:type="dxa"/>
            <w:vAlign w:val="center"/>
          </w:tcPr>
          <w:p>
            <w:pPr>
              <w:pStyle w:val="16"/>
            </w:pPr>
            <w:r>
              <w:t>≥50个</w:t>
            </w:r>
          </w:p>
        </w:tc>
        <w:tc>
          <w:tcPr>
            <w:tcW w:w="2268" w:type="dxa"/>
            <w:vAlign w:val="center"/>
          </w:tcPr>
          <w:p>
            <w:pPr>
              <w:pStyle w:val="16"/>
            </w:pPr>
            <w:r>
              <w:t>上级文件要求结合合同要求</w:t>
            </w:r>
          </w:p>
        </w:tc>
      </w:tr>
      <w:tr>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普查报告</w:t>
            </w:r>
          </w:p>
        </w:tc>
        <w:tc>
          <w:tcPr>
            <w:tcW w:w="2835" w:type="dxa"/>
            <w:vAlign w:val="center"/>
          </w:tcPr>
          <w:p>
            <w:pPr>
              <w:pStyle w:val="16"/>
            </w:pPr>
            <w:r>
              <w:t>区域种质资源普查报告</w:t>
            </w:r>
          </w:p>
        </w:tc>
        <w:tc>
          <w:tcPr>
            <w:tcW w:w="2551" w:type="dxa"/>
            <w:vAlign w:val="center"/>
          </w:tcPr>
          <w:p>
            <w:pPr>
              <w:pStyle w:val="16"/>
            </w:pPr>
            <w:r>
              <w:t>≥1份</w:t>
            </w:r>
          </w:p>
        </w:tc>
        <w:tc>
          <w:tcPr>
            <w:tcW w:w="2268" w:type="dxa"/>
            <w:vAlign w:val="center"/>
          </w:tcPr>
          <w:p>
            <w:pPr>
              <w:pStyle w:val="16"/>
            </w:pPr>
            <w:r>
              <w:t>上级文件要求结合合同要求</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数据统计精准性</w:t>
            </w:r>
          </w:p>
        </w:tc>
        <w:tc>
          <w:tcPr>
            <w:tcW w:w="2835" w:type="dxa"/>
            <w:vAlign w:val="center"/>
          </w:tcPr>
          <w:p>
            <w:pPr>
              <w:pStyle w:val="16"/>
            </w:pPr>
            <w:r>
              <w:t>摸清区域林草种质资源家底</w:t>
            </w:r>
          </w:p>
        </w:tc>
        <w:tc>
          <w:tcPr>
            <w:tcW w:w="2551" w:type="dxa"/>
            <w:vAlign w:val="center"/>
          </w:tcPr>
          <w:p>
            <w:pPr>
              <w:pStyle w:val="16"/>
            </w:pPr>
            <w:r>
              <w:t>数据精准</w:t>
            </w:r>
          </w:p>
        </w:tc>
        <w:tc>
          <w:tcPr>
            <w:tcW w:w="2268" w:type="dxa"/>
            <w:vAlign w:val="center"/>
          </w:tcPr>
          <w:p>
            <w:pPr>
              <w:pStyle w:val="16"/>
            </w:pPr>
            <w:r>
              <w:t>合同要求</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数据统计完成及时性</w:t>
            </w:r>
          </w:p>
        </w:tc>
        <w:tc>
          <w:tcPr>
            <w:tcW w:w="2835" w:type="dxa"/>
            <w:vAlign w:val="center"/>
          </w:tcPr>
          <w:p>
            <w:pPr>
              <w:pStyle w:val="16"/>
            </w:pPr>
            <w:r>
              <w:t>合同规定工期</w:t>
            </w:r>
          </w:p>
        </w:tc>
        <w:tc>
          <w:tcPr>
            <w:tcW w:w="2551" w:type="dxa"/>
            <w:vAlign w:val="center"/>
          </w:tcPr>
          <w:p>
            <w:pPr>
              <w:pStyle w:val="16"/>
            </w:pPr>
            <w:r>
              <w:t>及时</w:t>
            </w:r>
          </w:p>
        </w:tc>
        <w:tc>
          <w:tcPr>
            <w:tcW w:w="2268" w:type="dxa"/>
            <w:vAlign w:val="center"/>
          </w:tcPr>
          <w:p>
            <w:pPr>
              <w:pStyle w:val="16"/>
            </w:pPr>
            <w:r>
              <w:t>合同</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项目总投入成本</w:t>
            </w:r>
          </w:p>
        </w:tc>
        <w:tc>
          <w:tcPr>
            <w:tcW w:w="2835" w:type="dxa"/>
            <w:vAlign w:val="center"/>
          </w:tcPr>
          <w:p>
            <w:pPr>
              <w:pStyle w:val="16"/>
            </w:pPr>
            <w:r>
              <w:t>成本预算不高于10万元</w:t>
            </w:r>
          </w:p>
        </w:tc>
        <w:tc>
          <w:tcPr>
            <w:tcW w:w="2551" w:type="dxa"/>
            <w:vAlign w:val="center"/>
          </w:tcPr>
          <w:p>
            <w:pPr>
              <w:pStyle w:val="16"/>
            </w:pPr>
            <w:r>
              <w:t>≤10万元</w:t>
            </w:r>
          </w:p>
        </w:tc>
        <w:tc>
          <w:tcPr>
            <w:tcW w:w="2268" w:type="dxa"/>
            <w:vAlign w:val="center"/>
          </w:tcPr>
          <w:p>
            <w:pPr>
              <w:pStyle w:val="16"/>
            </w:pPr>
          </w:p>
        </w:tc>
      </w:tr>
      <w:tr>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推动林草行业发展</w:t>
            </w:r>
          </w:p>
        </w:tc>
        <w:tc>
          <w:tcPr>
            <w:tcW w:w="2835" w:type="dxa"/>
            <w:vAlign w:val="center"/>
          </w:tcPr>
          <w:p>
            <w:pPr>
              <w:pStyle w:val="16"/>
            </w:pPr>
            <w:r>
              <w:t>通过项目的开展维护物种多样性</w:t>
            </w:r>
          </w:p>
        </w:tc>
        <w:tc>
          <w:tcPr>
            <w:tcW w:w="2551" w:type="dxa"/>
            <w:vAlign w:val="center"/>
          </w:tcPr>
          <w:p>
            <w:pPr>
              <w:pStyle w:val="16"/>
            </w:pPr>
            <w:r>
              <w:t>维护</w:t>
            </w:r>
          </w:p>
        </w:tc>
        <w:tc>
          <w:tcPr>
            <w:tcW w:w="2268" w:type="dxa"/>
            <w:vAlign w:val="center"/>
          </w:tcPr>
          <w:p>
            <w:pPr>
              <w:pStyle w:val="16"/>
            </w:pPr>
            <w:r>
              <w:t>实际情况</w:t>
            </w:r>
          </w:p>
        </w:tc>
      </w:tr>
      <w:tr>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区域居民</w:t>
            </w:r>
          </w:p>
        </w:tc>
        <w:tc>
          <w:tcPr>
            <w:tcW w:w="2835" w:type="dxa"/>
            <w:vAlign w:val="center"/>
          </w:tcPr>
          <w:p>
            <w:pPr>
              <w:pStyle w:val="16"/>
            </w:pPr>
            <w:r>
              <w:t>满意人数/调查总人数*100%</w:t>
            </w:r>
          </w:p>
        </w:tc>
        <w:tc>
          <w:tcPr>
            <w:tcW w:w="2551" w:type="dxa"/>
            <w:vAlign w:val="center"/>
          </w:tcPr>
          <w:p>
            <w:pPr>
              <w:pStyle w:val="16"/>
            </w:pPr>
            <w:r>
              <w:t>≥90%</w:t>
            </w:r>
          </w:p>
        </w:tc>
        <w:tc>
          <w:tcPr>
            <w:tcW w:w="2268" w:type="dxa"/>
            <w:vAlign w:val="center"/>
          </w:tcPr>
          <w:p>
            <w:pPr>
              <w:pStyle w:val="16"/>
            </w:pPr>
            <w:r>
              <w:t>问卷调查</w:t>
            </w:r>
          </w:p>
        </w:tc>
      </w:tr>
      <w:tr>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甲方满意度</w:t>
            </w:r>
          </w:p>
        </w:tc>
        <w:tc>
          <w:tcPr>
            <w:tcW w:w="2835" w:type="dxa"/>
            <w:vAlign w:val="center"/>
          </w:tcPr>
          <w:p>
            <w:pPr>
              <w:pStyle w:val="16"/>
            </w:pPr>
            <w:r>
              <w:t>科室满意人数/调查总人数*100%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、专项债咨询服务费绩效目标表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1.通过项目开展，加强临空经济区专项债券项目资金绩效管理，提高专项债券资金使用效益，有效防范政府债务风险。</w:t>
            </w:r>
          </w:p>
          <w:p>
            <w:pPr>
              <w:pStyle w:val="16"/>
              <w:rPr>
                <w:lang w:eastAsia="zh-CN"/>
              </w:rPr>
            </w:pPr>
            <w:r>
              <w:t>2.通过项目的开展，完成事前评估服务、实施方案和财务评价报告咨询服务及债券法律意见书咨询服务，确保2023年度内结束各项服务工作且工作考核达标率100%，提升债券资金配置效率和使用效益的。</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450"/>
        <w:gridCol w:w="1482"/>
        <w:gridCol w:w="2466"/>
      </w:tblGrid>
      <w:tr>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3450" w:type="dxa"/>
            <w:vAlign w:val="center"/>
          </w:tcPr>
          <w:p>
            <w:pPr>
              <w:pStyle w:val="14"/>
            </w:pPr>
            <w:r>
              <w:t>绩效指标描述</w:t>
            </w:r>
          </w:p>
        </w:tc>
        <w:tc>
          <w:tcPr>
            <w:tcW w:w="1482"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事前评估服务</w:t>
            </w:r>
          </w:p>
        </w:tc>
        <w:tc>
          <w:tcPr>
            <w:tcW w:w="3450" w:type="dxa"/>
            <w:vAlign w:val="center"/>
          </w:tcPr>
          <w:p>
            <w:pPr>
              <w:pStyle w:val="16"/>
            </w:pPr>
            <w:r>
              <w:t>考察事前评估服务完成情况</w:t>
            </w:r>
          </w:p>
        </w:tc>
        <w:tc>
          <w:tcPr>
            <w:tcW w:w="1482" w:type="dxa"/>
            <w:vAlign w:val="center"/>
          </w:tcPr>
          <w:p>
            <w:pPr>
              <w:pStyle w:val="16"/>
            </w:pPr>
            <w:r>
              <w:t>≥1次</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实施方案和财务评价报告咨询服务</w:t>
            </w:r>
          </w:p>
        </w:tc>
        <w:tc>
          <w:tcPr>
            <w:tcW w:w="3450" w:type="dxa"/>
            <w:vAlign w:val="center"/>
          </w:tcPr>
          <w:p>
            <w:pPr>
              <w:pStyle w:val="16"/>
            </w:pPr>
            <w:r>
              <w:t>考察实施方案和财务评价报告咨询服务完成情况</w:t>
            </w:r>
          </w:p>
        </w:tc>
        <w:tc>
          <w:tcPr>
            <w:tcW w:w="1482" w:type="dxa"/>
            <w:vAlign w:val="center"/>
          </w:tcPr>
          <w:p>
            <w:pPr>
              <w:pStyle w:val="16"/>
            </w:pPr>
            <w:r>
              <w:t>≥1次</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债券法律意见书咨询服务</w:t>
            </w:r>
          </w:p>
        </w:tc>
        <w:tc>
          <w:tcPr>
            <w:tcW w:w="3450" w:type="dxa"/>
            <w:vAlign w:val="center"/>
          </w:tcPr>
          <w:p>
            <w:pPr>
              <w:pStyle w:val="16"/>
            </w:pPr>
            <w:r>
              <w:t>考察债券法律意见书咨询服务工作完成情况</w:t>
            </w:r>
          </w:p>
        </w:tc>
        <w:tc>
          <w:tcPr>
            <w:tcW w:w="1482" w:type="dxa"/>
            <w:vAlign w:val="center"/>
          </w:tcPr>
          <w:p>
            <w:pPr>
              <w:pStyle w:val="16"/>
            </w:pPr>
            <w:r>
              <w:t>≥1次</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债券服务相关工作质量达标率</w:t>
            </w:r>
          </w:p>
        </w:tc>
        <w:tc>
          <w:tcPr>
            <w:tcW w:w="3450" w:type="dxa"/>
            <w:vAlign w:val="center"/>
          </w:tcPr>
          <w:p>
            <w:pPr>
              <w:pStyle w:val="16"/>
            </w:pPr>
            <w:r>
              <w:t>工作考核达标数量/咨询服务事项数量*100%</w:t>
            </w:r>
          </w:p>
        </w:tc>
        <w:tc>
          <w:tcPr>
            <w:tcW w:w="1482" w:type="dxa"/>
            <w:vAlign w:val="center"/>
          </w:tcPr>
          <w:p>
            <w:pPr>
              <w:pStyle w:val="16"/>
            </w:pPr>
            <w:r>
              <w:t>≥100%</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服务工作开展及时性</w:t>
            </w:r>
          </w:p>
        </w:tc>
        <w:tc>
          <w:tcPr>
            <w:tcW w:w="3450" w:type="dxa"/>
            <w:vAlign w:val="center"/>
          </w:tcPr>
          <w:p>
            <w:pPr>
              <w:pStyle w:val="16"/>
            </w:pPr>
            <w:r>
              <w:t>2023年12月完成所有年度内计划开展项目</w:t>
            </w:r>
          </w:p>
        </w:tc>
        <w:tc>
          <w:tcPr>
            <w:tcW w:w="1482" w:type="dxa"/>
            <w:vAlign w:val="center"/>
          </w:tcPr>
          <w:p>
            <w:pPr>
              <w:pStyle w:val="16"/>
            </w:pPr>
            <w:r>
              <w:t>2023年12月</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事前评估服务成本</w:t>
            </w:r>
          </w:p>
        </w:tc>
        <w:tc>
          <w:tcPr>
            <w:tcW w:w="3450" w:type="dxa"/>
            <w:vAlign w:val="center"/>
          </w:tcPr>
          <w:p>
            <w:pPr>
              <w:pStyle w:val="16"/>
            </w:pPr>
            <w:r>
              <w:t>考察事前评估服务成本控制情况</w:t>
            </w:r>
          </w:p>
        </w:tc>
        <w:tc>
          <w:tcPr>
            <w:tcW w:w="1482" w:type="dxa"/>
            <w:vAlign w:val="center"/>
          </w:tcPr>
          <w:p>
            <w:pPr>
              <w:pStyle w:val="16"/>
            </w:pPr>
            <w:r>
              <w:t>≤29万元</w:t>
            </w:r>
          </w:p>
        </w:tc>
        <w:tc>
          <w:tcPr>
            <w:tcW w:w="2466" w:type="dxa"/>
            <w:vAlign w:val="center"/>
          </w:tcPr>
          <w:p>
            <w:pPr>
              <w:pStyle w:val="16"/>
              <w:rPr>
                <w:lang w:eastAsia="zh-CN"/>
              </w:rPr>
            </w:pPr>
            <w:r>
              <w:t>计划标准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实施方案和财务评价报告咨询服务成本</w:t>
            </w:r>
          </w:p>
        </w:tc>
        <w:tc>
          <w:tcPr>
            <w:tcW w:w="3450" w:type="dxa"/>
            <w:vAlign w:val="center"/>
          </w:tcPr>
          <w:p>
            <w:pPr>
              <w:pStyle w:val="16"/>
            </w:pPr>
            <w:r>
              <w:t>考察实施方案和财务评价报告咨询服务成本控制情况</w:t>
            </w:r>
          </w:p>
        </w:tc>
        <w:tc>
          <w:tcPr>
            <w:tcW w:w="1482" w:type="dxa"/>
            <w:vAlign w:val="center"/>
          </w:tcPr>
          <w:p>
            <w:pPr>
              <w:pStyle w:val="16"/>
            </w:pPr>
            <w:r>
              <w:t>≤29.5万元</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债券法律意见书咨询服务成本</w:t>
            </w:r>
          </w:p>
        </w:tc>
        <w:tc>
          <w:tcPr>
            <w:tcW w:w="3450" w:type="dxa"/>
            <w:vAlign w:val="center"/>
          </w:tcPr>
          <w:p>
            <w:pPr>
              <w:pStyle w:val="16"/>
            </w:pPr>
            <w:r>
              <w:t>考察券法律意见书咨询服务成本控制情况</w:t>
            </w:r>
          </w:p>
        </w:tc>
        <w:tc>
          <w:tcPr>
            <w:tcW w:w="1482" w:type="dxa"/>
            <w:vAlign w:val="center"/>
          </w:tcPr>
          <w:p>
            <w:pPr>
              <w:pStyle w:val="16"/>
            </w:pPr>
            <w:r>
              <w:t>≤28万元</w:t>
            </w:r>
          </w:p>
        </w:tc>
        <w:tc>
          <w:tcPr>
            <w:tcW w:w="2466" w:type="dxa"/>
            <w:vAlign w:val="center"/>
          </w:tcPr>
          <w:p>
            <w:pPr>
              <w:pStyle w:val="16"/>
            </w:pPr>
            <w:r>
              <w:t>计划标准</w:t>
            </w:r>
          </w:p>
        </w:tc>
      </w:tr>
      <w:tr>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提高专项债券资金使用效益</w:t>
            </w:r>
          </w:p>
        </w:tc>
        <w:tc>
          <w:tcPr>
            <w:tcW w:w="3450" w:type="dxa"/>
            <w:vAlign w:val="center"/>
          </w:tcPr>
          <w:p>
            <w:pPr>
              <w:pStyle w:val="16"/>
            </w:pPr>
            <w:r>
              <w:t>提高专项债券资金使用效益</w:t>
            </w:r>
          </w:p>
        </w:tc>
        <w:tc>
          <w:tcPr>
            <w:tcW w:w="1482" w:type="dxa"/>
            <w:vAlign w:val="center"/>
          </w:tcPr>
          <w:p>
            <w:pPr>
              <w:pStyle w:val="16"/>
            </w:pPr>
            <w:r>
              <w:t>显著提高</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有效防范政府债务风险</w:t>
            </w:r>
          </w:p>
        </w:tc>
        <w:tc>
          <w:tcPr>
            <w:tcW w:w="3450" w:type="dxa"/>
            <w:vAlign w:val="center"/>
          </w:tcPr>
          <w:p>
            <w:pPr>
              <w:pStyle w:val="16"/>
            </w:pPr>
            <w:r>
              <w:t>有效防范政府债务风险</w:t>
            </w:r>
          </w:p>
        </w:tc>
        <w:tc>
          <w:tcPr>
            <w:tcW w:w="1482" w:type="dxa"/>
            <w:vAlign w:val="center"/>
          </w:tcPr>
          <w:p>
            <w:pPr>
              <w:pStyle w:val="16"/>
            </w:pPr>
            <w:r>
              <w:t>有效防范</w:t>
            </w:r>
          </w:p>
        </w:tc>
        <w:tc>
          <w:tcPr>
            <w:tcW w:w="2466" w:type="dxa"/>
            <w:vAlign w:val="center"/>
          </w:tcPr>
          <w:p>
            <w:pPr>
              <w:pStyle w:val="16"/>
            </w:pPr>
            <w:r>
              <w:t>计划标准</w:t>
            </w:r>
          </w:p>
        </w:tc>
      </w:tr>
      <w:tr>
        <w:trPr>
          <w:trHeight w:val="397" w:hRule="atLeast"/>
          <w:jc w:val="center"/>
        </w:trPr>
        <w:tc>
          <w:tcPr>
            <w:tcW w:w="2466" w:type="dxa"/>
            <w:vMerge w:val="restart"/>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上级部门满意度</w:t>
            </w:r>
          </w:p>
        </w:tc>
        <w:tc>
          <w:tcPr>
            <w:tcW w:w="3450" w:type="dxa"/>
            <w:vAlign w:val="center"/>
          </w:tcPr>
          <w:p>
            <w:pPr>
              <w:pStyle w:val="16"/>
            </w:pPr>
            <w:r>
              <w:t>上级部门满意数量/调查总数量*100%</w:t>
            </w:r>
          </w:p>
        </w:tc>
        <w:tc>
          <w:tcPr>
            <w:tcW w:w="1482" w:type="dxa"/>
            <w:vAlign w:val="center"/>
          </w:tcPr>
          <w:p>
            <w:pPr>
              <w:pStyle w:val="16"/>
            </w:pPr>
            <w:r>
              <w:t>≥95%</w:t>
            </w:r>
          </w:p>
        </w:tc>
        <w:tc>
          <w:tcPr>
            <w:tcW w:w="2466" w:type="dxa"/>
            <w:vAlign w:val="center"/>
          </w:tcPr>
          <w:p>
            <w:pPr>
              <w:pStyle w:val="16"/>
            </w:pPr>
            <w:r>
              <w:t>计划标准</w:t>
            </w:r>
          </w:p>
        </w:tc>
      </w:tr>
      <w:tr>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部门满意度</w:t>
            </w:r>
          </w:p>
        </w:tc>
        <w:tc>
          <w:tcPr>
            <w:tcW w:w="3450" w:type="dxa"/>
            <w:vAlign w:val="center"/>
          </w:tcPr>
          <w:p>
            <w:pPr>
              <w:pStyle w:val="16"/>
            </w:pPr>
            <w:r>
              <w:t>部门满意数量/调查总数量*100%</w:t>
            </w:r>
          </w:p>
        </w:tc>
        <w:tc>
          <w:tcPr>
            <w:tcW w:w="1482" w:type="dxa"/>
            <w:vAlign w:val="center"/>
          </w:tcPr>
          <w:p>
            <w:pPr>
              <w:pStyle w:val="16"/>
            </w:pPr>
            <w:r>
              <w:t>≥95%</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、综合保税区运行维护费用绩效目标表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1.做好“一个机构、三方参与，一个平台、协商分配”的京冀协调发展战略，保障北京大兴国际机场综合保税区封关验收完成后综保区封关验收后高效运行。</w:t>
            </w:r>
          </w:p>
          <w:p>
            <w:pPr>
              <w:pStyle w:val="16"/>
            </w:pPr>
            <w:r>
              <w:t>2.通过为海关提供协勤、保安、办公设施管理等服务，保障海关综保区监管业务正常进行。</w:t>
            </w:r>
          </w:p>
        </w:tc>
      </w:tr>
    </w:tbl>
    <w:p>
      <w:pPr>
        <w:spacing w:line="2" w:lineRule="exact"/>
        <w:jc w:val="center"/>
        <w:rPr>
          <w:rFonts w:eastAsia="宋体"/>
          <w:lang w:eastAsia="zh-CN"/>
        </w:rP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330"/>
        <w:gridCol w:w="1964"/>
        <w:gridCol w:w="4104"/>
        <w:gridCol w:w="2466"/>
        <w:gridCol w:w="2466"/>
      </w:tblGrid>
      <w:tr>
        <w:trPr>
          <w:trHeight w:val="397" w:hRule="atLeast"/>
          <w:tblHeader/>
          <w:jc w:val="center"/>
        </w:trPr>
        <w:tc>
          <w:tcPr>
            <w:tcW w:w="2466" w:type="dxa"/>
            <w:vAlign w:val="center"/>
          </w:tcPr>
          <w:p>
            <w:pPr>
              <w:pStyle w:val="14"/>
            </w:pPr>
            <w:r>
              <w:t>一级指标</w:t>
            </w:r>
          </w:p>
        </w:tc>
        <w:tc>
          <w:tcPr>
            <w:tcW w:w="1330" w:type="dxa"/>
            <w:vAlign w:val="center"/>
          </w:tcPr>
          <w:p>
            <w:pPr>
              <w:pStyle w:val="14"/>
            </w:pPr>
            <w:r>
              <w:t>二级指标</w:t>
            </w:r>
          </w:p>
        </w:tc>
        <w:tc>
          <w:tcPr>
            <w:tcW w:w="1964" w:type="dxa"/>
            <w:vAlign w:val="center"/>
          </w:tcPr>
          <w:p>
            <w:pPr>
              <w:pStyle w:val="14"/>
            </w:pPr>
            <w:r>
              <w:t>三级指标</w:t>
            </w:r>
          </w:p>
        </w:tc>
        <w:tc>
          <w:tcPr>
            <w:tcW w:w="4104"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rPr>
          <w:trHeight w:val="397" w:hRule="atLeast"/>
          <w:jc w:val="center"/>
        </w:trPr>
        <w:tc>
          <w:tcPr>
            <w:tcW w:w="2466" w:type="dxa"/>
            <w:vMerge w:val="restart"/>
            <w:vAlign w:val="center"/>
          </w:tcPr>
          <w:p>
            <w:pPr>
              <w:pStyle w:val="17"/>
            </w:pPr>
            <w:r>
              <w:t>产出指标</w:t>
            </w:r>
          </w:p>
        </w:tc>
        <w:tc>
          <w:tcPr>
            <w:tcW w:w="1330" w:type="dxa"/>
            <w:vAlign w:val="center"/>
          </w:tcPr>
          <w:p>
            <w:pPr>
              <w:pStyle w:val="16"/>
            </w:pPr>
            <w:r>
              <w:t>数量指标</w:t>
            </w:r>
          </w:p>
        </w:tc>
        <w:tc>
          <w:tcPr>
            <w:tcW w:w="1964" w:type="dxa"/>
            <w:vAlign w:val="center"/>
          </w:tcPr>
          <w:p>
            <w:pPr>
              <w:pStyle w:val="16"/>
            </w:pPr>
            <w:r>
              <w:t>协勤保障人数</w:t>
            </w:r>
          </w:p>
        </w:tc>
        <w:tc>
          <w:tcPr>
            <w:tcW w:w="4104" w:type="dxa"/>
            <w:vAlign w:val="center"/>
          </w:tcPr>
          <w:p>
            <w:pPr>
              <w:pStyle w:val="16"/>
            </w:pPr>
            <w:r>
              <w:t>按照海关初步要求并参考天竺综保区协勤用工标准</w:t>
            </w:r>
          </w:p>
        </w:tc>
        <w:tc>
          <w:tcPr>
            <w:tcW w:w="2466" w:type="dxa"/>
            <w:vAlign w:val="center"/>
          </w:tcPr>
          <w:p>
            <w:pPr>
              <w:pStyle w:val="16"/>
            </w:pPr>
            <w:r>
              <w:t>≥40人</w:t>
            </w:r>
          </w:p>
        </w:tc>
        <w:tc>
          <w:tcPr>
            <w:tcW w:w="2466" w:type="dxa"/>
            <w:vAlign w:val="center"/>
          </w:tcPr>
          <w:p>
            <w:pPr>
              <w:pStyle w:val="16"/>
            </w:pPr>
            <w:r>
              <w:t>按照北京海关初步要求</w:t>
            </w:r>
          </w:p>
        </w:tc>
      </w:tr>
      <w:tr>
        <w:trPr>
          <w:trHeight w:val="397" w:hRule="atLeast"/>
          <w:jc w:val="center"/>
        </w:trPr>
        <w:tc>
          <w:tcPr>
            <w:tcW w:w="2466" w:type="dxa"/>
            <w:vMerge w:val="continue"/>
            <w:vAlign w:val="center"/>
          </w:tcPr>
          <w:p/>
        </w:tc>
        <w:tc>
          <w:tcPr>
            <w:tcW w:w="1330" w:type="dxa"/>
            <w:vAlign w:val="center"/>
          </w:tcPr>
          <w:p>
            <w:pPr>
              <w:pStyle w:val="16"/>
            </w:pPr>
            <w:r>
              <w:t>数量指标</w:t>
            </w:r>
          </w:p>
        </w:tc>
        <w:tc>
          <w:tcPr>
            <w:tcW w:w="1964" w:type="dxa"/>
            <w:vAlign w:val="center"/>
          </w:tcPr>
          <w:p>
            <w:pPr>
              <w:pStyle w:val="16"/>
            </w:pPr>
            <w:r>
              <w:t>安保人数</w:t>
            </w:r>
          </w:p>
        </w:tc>
        <w:tc>
          <w:tcPr>
            <w:tcW w:w="4104" w:type="dxa"/>
            <w:vAlign w:val="center"/>
          </w:tcPr>
          <w:p>
            <w:pPr>
              <w:pStyle w:val="16"/>
            </w:pPr>
            <w:r>
              <w:t>按照海关初步要求并参考天竺综保区协勤用工标准</w:t>
            </w:r>
          </w:p>
        </w:tc>
        <w:tc>
          <w:tcPr>
            <w:tcW w:w="2466" w:type="dxa"/>
            <w:vAlign w:val="center"/>
          </w:tcPr>
          <w:p>
            <w:pPr>
              <w:pStyle w:val="16"/>
            </w:pPr>
            <w:r>
              <w:t>≥40人</w:t>
            </w:r>
          </w:p>
        </w:tc>
        <w:tc>
          <w:tcPr>
            <w:tcW w:w="2466" w:type="dxa"/>
            <w:vAlign w:val="center"/>
          </w:tcPr>
          <w:p>
            <w:pPr>
              <w:pStyle w:val="16"/>
            </w:pPr>
            <w:r>
              <w:t>《北京市安保服务质量标准》</w:t>
            </w:r>
          </w:p>
        </w:tc>
      </w:tr>
      <w:tr>
        <w:trPr>
          <w:trHeight w:val="397" w:hRule="atLeast"/>
          <w:jc w:val="center"/>
        </w:trPr>
        <w:tc>
          <w:tcPr>
            <w:tcW w:w="2466" w:type="dxa"/>
            <w:vMerge w:val="continue"/>
            <w:vAlign w:val="center"/>
          </w:tcPr>
          <w:p/>
        </w:tc>
        <w:tc>
          <w:tcPr>
            <w:tcW w:w="1330" w:type="dxa"/>
            <w:vAlign w:val="center"/>
          </w:tcPr>
          <w:p>
            <w:pPr>
              <w:pStyle w:val="16"/>
            </w:pPr>
            <w:r>
              <w:t>数量指标</w:t>
            </w:r>
          </w:p>
        </w:tc>
        <w:tc>
          <w:tcPr>
            <w:tcW w:w="1964" w:type="dxa"/>
            <w:vAlign w:val="center"/>
          </w:tcPr>
          <w:p>
            <w:pPr>
              <w:pStyle w:val="16"/>
            </w:pPr>
            <w:r>
              <w:t>办公设施管理点位数</w:t>
            </w:r>
          </w:p>
        </w:tc>
        <w:tc>
          <w:tcPr>
            <w:tcW w:w="4104" w:type="dxa"/>
            <w:vAlign w:val="center"/>
          </w:tcPr>
          <w:p>
            <w:pPr>
              <w:pStyle w:val="16"/>
            </w:pPr>
            <w:r>
              <w:t>合理的办公设施点位设置全方位服务好入区企业</w:t>
            </w:r>
          </w:p>
        </w:tc>
        <w:tc>
          <w:tcPr>
            <w:tcW w:w="2466" w:type="dxa"/>
            <w:vAlign w:val="center"/>
          </w:tcPr>
          <w:p>
            <w:pPr>
              <w:pStyle w:val="16"/>
            </w:pPr>
            <w:r>
              <w:t>7个</w:t>
            </w:r>
          </w:p>
        </w:tc>
        <w:tc>
          <w:tcPr>
            <w:tcW w:w="2466" w:type="dxa"/>
            <w:vAlign w:val="center"/>
          </w:tcPr>
          <w:p>
            <w:pPr>
              <w:pStyle w:val="16"/>
            </w:pPr>
            <w:r>
              <w:t>《北京市物业管理条例》</w:t>
            </w:r>
          </w:p>
        </w:tc>
      </w:tr>
      <w:tr>
        <w:trPr>
          <w:trHeight w:val="397" w:hRule="atLeast"/>
          <w:jc w:val="center"/>
        </w:trPr>
        <w:tc>
          <w:tcPr>
            <w:tcW w:w="2466" w:type="dxa"/>
            <w:vMerge w:val="continue"/>
            <w:vAlign w:val="center"/>
          </w:tcPr>
          <w:p/>
        </w:tc>
        <w:tc>
          <w:tcPr>
            <w:tcW w:w="1330" w:type="dxa"/>
            <w:vAlign w:val="center"/>
          </w:tcPr>
          <w:p>
            <w:pPr>
              <w:pStyle w:val="16"/>
            </w:pPr>
            <w:r>
              <w:t>质量指标</w:t>
            </w:r>
          </w:p>
        </w:tc>
        <w:tc>
          <w:tcPr>
            <w:tcW w:w="1964" w:type="dxa"/>
            <w:vAlign w:val="center"/>
          </w:tcPr>
          <w:p>
            <w:pPr>
              <w:pStyle w:val="16"/>
            </w:pPr>
            <w:r>
              <w:t>服务人员出勤率</w:t>
            </w:r>
          </w:p>
        </w:tc>
        <w:tc>
          <w:tcPr>
            <w:tcW w:w="4104" w:type="dxa"/>
            <w:vAlign w:val="center"/>
          </w:tcPr>
          <w:p>
            <w:pPr>
              <w:pStyle w:val="16"/>
            </w:pPr>
            <w:r>
              <w:t>北京大兴综保区服务人员符合工作出勤标准</w:t>
            </w:r>
          </w:p>
        </w:tc>
        <w:tc>
          <w:tcPr>
            <w:tcW w:w="2466" w:type="dxa"/>
            <w:vAlign w:val="center"/>
          </w:tcPr>
          <w:p>
            <w:pPr>
              <w:pStyle w:val="16"/>
            </w:pPr>
            <w:r>
              <w:t>≥98%</w:t>
            </w:r>
          </w:p>
        </w:tc>
        <w:tc>
          <w:tcPr>
            <w:tcW w:w="2466" w:type="dxa"/>
            <w:vAlign w:val="center"/>
          </w:tcPr>
          <w:p>
            <w:pPr>
              <w:pStyle w:val="16"/>
            </w:pPr>
            <w:r>
              <w:t>《北京市物业管理条例》</w:t>
            </w:r>
          </w:p>
        </w:tc>
      </w:tr>
      <w:tr>
        <w:trPr>
          <w:trHeight w:val="397" w:hRule="atLeast"/>
          <w:jc w:val="center"/>
        </w:trPr>
        <w:tc>
          <w:tcPr>
            <w:tcW w:w="2466" w:type="dxa"/>
            <w:vMerge w:val="continue"/>
            <w:vAlign w:val="center"/>
          </w:tcPr>
          <w:p/>
        </w:tc>
        <w:tc>
          <w:tcPr>
            <w:tcW w:w="1330" w:type="dxa"/>
            <w:vAlign w:val="center"/>
          </w:tcPr>
          <w:p>
            <w:pPr>
              <w:pStyle w:val="16"/>
            </w:pPr>
            <w:r>
              <w:t>时效指标</w:t>
            </w:r>
          </w:p>
        </w:tc>
        <w:tc>
          <w:tcPr>
            <w:tcW w:w="1964" w:type="dxa"/>
            <w:vAlign w:val="center"/>
          </w:tcPr>
          <w:p>
            <w:pPr>
              <w:pStyle w:val="16"/>
            </w:pPr>
            <w:r>
              <w:t>服务响应效率</w:t>
            </w:r>
          </w:p>
        </w:tc>
        <w:tc>
          <w:tcPr>
            <w:tcW w:w="4104" w:type="dxa"/>
            <w:vAlign w:val="center"/>
          </w:tcPr>
          <w:p>
            <w:pPr>
              <w:pStyle w:val="16"/>
            </w:pPr>
            <w:r>
              <w:t>服务人员达到入区企业、入区工作人员的认可</w:t>
            </w:r>
          </w:p>
        </w:tc>
        <w:tc>
          <w:tcPr>
            <w:tcW w:w="2466" w:type="dxa"/>
            <w:vAlign w:val="center"/>
          </w:tcPr>
          <w:p>
            <w:pPr>
              <w:pStyle w:val="16"/>
            </w:pPr>
            <w:r>
              <w:t>24小时</w:t>
            </w:r>
          </w:p>
        </w:tc>
        <w:tc>
          <w:tcPr>
            <w:tcW w:w="2466" w:type="dxa"/>
            <w:vAlign w:val="center"/>
          </w:tcPr>
          <w:p>
            <w:pPr>
              <w:pStyle w:val="16"/>
            </w:pPr>
            <w:r>
              <w:t>《北京市物业管理条例》</w:t>
            </w:r>
          </w:p>
        </w:tc>
      </w:tr>
      <w:tr>
        <w:trPr>
          <w:trHeight w:val="397" w:hRule="atLeast"/>
          <w:jc w:val="center"/>
        </w:trPr>
        <w:tc>
          <w:tcPr>
            <w:tcW w:w="2466" w:type="dxa"/>
            <w:vMerge w:val="continue"/>
            <w:vAlign w:val="center"/>
          </w:tcPr>
          <w:p/>
        </w:tc>
        <w:tc>
          <w:tcPr>
            <w:tcW w:w="1330" w:type="dxa"/>
            <w:vAlign w:val="center"/>
          </w:tcPr>
          <w:p>
            <w:pPr>
              <w:pStyle w:val="16"/>
            </w:pPr>
            <w:r>
              <w:t>成本指标</w:t>
            </w:r>
          </w:p>
        </w:tc>
        <w:tc>
          <w:tcPr>
            <w:tcW w:w="1964" w:type="dxa"/>
            <w:vAlign w:val="center"/>
          </w:tcPr>
          <w:p>
            <w:pPr>
              <w:pStyle w:val="16"/>
            </w:pPr>
            <w:r>
              <w:t>协勤人员成本</w:t>
            </w:r>
          </w:p>
        </w:tc>
        <w:tc>
          <w:tcPr>
            <w:tcW w:w="4104" w:type="dxa"/>
            <w:vAlign w:val="center"/>
          </w:tcPr>
          <w:p>
            <w:pPr>
              <w:pStyle w:val="16"/>
            </w:pPr>
            <w:r>
              <w:t>按照海关初步要求并参考天竺综保区协勤用工标准</w:t>
            </w:r>
          </w:p>
        </w:tc>
        <w:tc>
          <w:tcPr>
            <w:tcW w:w="2466" w:type="dxa"/>
            <w:vAlign w:val="center"/>
          </w:tcPr>
          <w:p>
            <w:pPr>
              <w:pStyle w:val="16"/>
            </w:pPr>
            <w:r>
              <w:t>10000元/人/月</w:t>
            </w:r>
          </w:p>
        </w:tc>
        <w:tc>
          <w:tcPr>
            <w:tcW w:w="2466" w:type="dxa"/>
            <w:vAlign w:val="center"/>
          </w:tcPr>
          <w:p>
            <w:pPr>
              <w:pStyle w:val="16"/>
            </w:pPr>
            <w:r>
              <w:t>按照北京海关初步要求</w:t>
            </w:r>
          </w:p>
        </w:tc>
      </w:tr>
      <w:tr>
        <w:trPr>
          <w:trHeight w:val="397" w:hRule="atLeast"/>
          <w:jc w:val="center"/>
        </w:trPr>
        <w:tc>
          <w:tcPr>
            <w:tcW w:w="2466" w:type="dxa"/>
            <w:vMerge w:val="continue"/>
            <w:vAlign w:val="center"/>
          </w:tcPr>
          <w:p/>
        </w:tc>
        <w:tc>
          <w:tcPr>
            <w:tcW w:w="1330" w:type="dxa"/>
            <w:vAlign w:val="center"/>
          </w:tcPr>
          <w:p>
            <w:pPr>
              <w:pStyle w:val="16"/>
            </w:pPr>
            <w:r>
              <w:t>成本指标</w:t>
            </w:r>
          </w:p>
        </w:tc>
        <w:tc>
          <w:tcPr>
            <w:tcW w:w="1964" w:type="dxa"/>
            <w:vAlign w:val="center"/>
          </w:tcPr>
          <w:p>
            <w:pPr>
              <w:pStyle w:val="16"/>
            </w:pPr>
            <w:r>
              <w:t>安保人员成本</w:t>
            </w:r>
          </w:p>
        </w:tc>
        <w:tc>
          <w:tcPr>
            <w:tcW w:w="4104" w:type="dxa"/>
            <w:vAlign w:val="center"/>
          </w:tcPr>
          <w:p>
            <w:pPr>
              <w:pStyle w:val="16"/>
            </w:pPr>
            <w:r>
              <w:t>按照海关初步要求并参考天竺综保区协勤用工标准</w:t>
            </w:r>
          </w:p>
        </w:tc>
        <w:tc>
          <w:tcPr>
            <w:tcW w:w="2466" w:type="dxa"/>
            <w:vAlign w:val="center"/>
          </w:tcPr>
          <w:p>
            <w:pPr>
              <w:pStyle w:val="16"/>
            </w:pPr>
            <w:r>
              <w:t>6000元/人/月</w:t>
            </w:r>
          </w:p>
        </w:tc>
        <w:tc>
          <w:tcPr>
            <w:tcW w:w="2466" w:type="dxa"/>
            <w:vAlign w:val="center"/>
          </w:tcPr>
          <w:p>
            <w:pPr>
              <w:pStyle w:val="16"/>
            </w:pPr>
            <w:r>
              <w:t>《北京市安保服务质量标准》</w:t>
            </w:r>
          </w:p>
        </w:tc>
      </w:tr>
      <w:tr>
        <w:trPr>
          <w:trHeight w:val="397" w:hRule="atLeast"/>
          <w:jc w:val="center"/>
        </w:trPr>
        <w:tc>
          <w:tcPr>
            <w:tcW w:w="2466" w:type="dxa"/>
            <w:vMerge w:val="restart"/>
            <w:vAlign w:val="center"/>
          </w:tcPr>
          <w:p>
            <w:pPr>
              <w:pStyle w:val="17"/>
            </w:pPr>
            <w:r>
              <w:t>效益指标</w:t>
            </w:r>
          </w:p>
        </w:tc>
        <w:tc>
          <w:tcPr>
            <w:tcW w:w="1330" w:type="dxa"/>
            <w:vAlign w:val="center"/>
          </w:tcPr>
          <w:p>
            <w:pPr>
              <w:pStyle w:val="16"/>
            </w:pPr>
            <w:r>
              <w:t>可持续影响指标</w:t>
            </w:r>
          </w:p>
        </w:tc>
        <w:tc>
          <w:tcPr>
            <w:tcW w:w="1964" w:type="dxa"/>
            <w:vAlign w:val="center"/>
          </w:tcPr>
          <w:p>
            <w:pPr>
              <w:pStyle w:val="16"/>
            </w:pPr>
            <w:r>
              <w:t>经济增长</w:t>
            </w:r>
          </w:p>
        </w:tc>
        <w:tc>
          <w:tcPr>
            <w:tcW w:w="4104" w:type="dxa"/>
            <w:vAlign w:val="center"/>
          </w:tcPr>
          <w:p>
            <w:pPr>
              <w:pStyle w:val="16"/>
            </w:pPr>
            <w:r>
              <w:t>带动京冀协同发展，经济稳步增长</w:t>
            </w:r>
          </w:p>
        </w:tc>
        <w:tc>
          <w:tcPr>
            <w:tcW w:w="2466" w:type="dxa"/>
            <w:vAlign w:val="center"/>
          </w:tcPr>
          <w:p>
            <w:pPr>
              <w:pStyle w:val="16"/>
            </w:pPr>
            <w:r>
              <w:t>≥95%</w:t>
            </w:r>
          </w:p>
        </w:tc>
        <w:tc>
          <w:tcPr>
            <w:tcW w:w="2466" w:type="dxa"/>
            <w:vAlign w:val="center"/>
          </w:tcPr>
          <w:p>
            <w:pPr>
              <w:pStyle w:val="16"/>
            </w:pPr>
            <w:r>
              <w:t>《关于北京大兴国际机场临空经济区京冀联合工作领导小组第二次会议纪要》</w:t>
            </w:r>
          </w:p>
        </w:tc>
      </w:tr>
      <w:tr>
        <w:trPr>
          <w:trHeight w:val="397" w:hRule="atLeast"/>
          <w:jc w:val="center"/>
        </w:trPr>
        <w:tc>
          <w:tcPr>
            <w:tcW w:w="2466" w:type="dxa"/>
            <w:vMerge w:val="continue"/>
            <w:vAlign w:val="center"/>
          </w:tcPr>
          <w:p/>
        </w:tc>
        <w:tc>
          <w:tcPr>
            <w:tcW w:w="1330" w:type="dxa"/>
            <w:vAlign w:val="center"/>
          </w:tcPr>
          <w:p>
            <w:pPr>
              <w:pStyle w:val="16"/>
            </w:pPr>
            <w:r>
              <w:t>经济效益指标</w:t>
            </w:r>
          </w:p>
        </w:tc>
        <w:tc>
          <w:tcPr>
            <w:tcW w:w="1964" w:type="dxa"/>
            <w:vAlign w:val="center"/>
          </w:tcPr>
          <w:p>
            <w:pPr>
              <w:pStyle w:val="16"/>
            </w:pPr>
            <w:r>
              <w:t>为海关对综保区日常监管提供保障</w:t>
            </w:r>
          </w:p>
        </w:tc>
        <w:tc>
          <w:tcPr>
            <w:tcW w:w="4104" w:type="dxa"/>
            <w:vAlign w:val="center"/>
          </w:tcPr>
          <w:p>
            <w:pPr>
              <w:pStyle w:val="16"/>
            </w:pPr>
            <w:r>
              <w:t>保障北京大兴综合保税区稳步运行</w:t>
            </w:r>
          </w:p>
        </w:tc>
        <w:tc>
          <w:tcPr>
            <w:tcW w:w="2466" w:type="dxa"/>
            <w:vAlign w:val="center"/>
          </w:tcPr>
          <w:p>
            <w:pPr>
              <w:pStyle w:val="16"/>
            </w:pPr>
            <w:r>
              <w:t>达到预期目标</w:t>
            </w:r>
          </w:p>
        </w:tc>
        <w:tc>
          <w:tcPr>
            <w:tcW w:w="2466" w:type="dxa"/>
            <w:vAlign w:val="center"/>
          </w:tcPr>
          <w:p>
            <w:pPr>
              <w:pStyle w:val="16"/>
            </w:pPr>
            <w:r>
              <w:t>《关于北京大兴国际机场临空经济区京冀联合工作领导小组第二次会议纪要》</w:t>
            </w:r>
          </w:p>
        </w:tc>
      </w:tr>
      <w:tr>
        <w:trPr>
          <w:trHeight w:val="397" w:hRule="atLeast"/>
          <w:jc w:val="center"/>
        </w:trPr>
        <w:tc>
          <w:tcPr>
            <w:tcW w:w="2466" w:type="dxa"/>
            <w:vMerge w:val="continue"/>
            <w:vAlign w:val="center"/>
          </w:tcPr>
          <w:p/>
        </w:tc>
        <w:tc>
          <w:tcPr>
            <w:tcW w:w="1330" w:type="dxa"/>
            <w:vAlign w:val="center"/>
          </w:tcPr>
          <w:p>
            <w:pPr>
              <w:pStyle w:val="16"/>
            </w:pPr>
            <w:r>
              <w:t>生态效益指标</w:t>
            </w:r>
          </w:p>
        </w:tc>
        <w:tc>
          <w:tcPr>
            <w:tcW w:w="1964" w:type="dxa"/>
            <w:vAlign w:val="center"/>
          </w:tcPr>
          <w:p>
            <w:pPr>
              <w:pStyle w:val="16"/>
            </w:pPr>
            <w:r>
              <w:t>园区虫鼠害防治合格率</w:t>
            </w:r>
          </w:p>
        </w:tc>
        <w:tc>
          <w:tcPr>
            <w:tcW w:w="4104" w:type="dxa"/>
            <w:vAlign w:val="center"/>
          </w:tcPr>
          <w:p>
            <w:pPr>
              <w:pStyle w:val="16"/>
            </w:pPr>
            <w:r>
              <w:t>有效防治园区虫鼠害，维护园区环境，保障入区企业安全</w:t>
            </w:r>
          </w:p>
        </w:tc>
        <w:tc>
          <w:tcPr>
            <w:tcW w:w="2466" w:type="dxa"/>
            <w:vAlign w:val="center"/>
          </w:tcPr>
          <w:p>
            <w:pPr>
              <w:pStyle w:val="16"/>
            </w:pPr>
            <w:r>
              <w:t>≥95%</w:t>
            </w:r>
          </w:p>
        </w:tc>
        <w:tc>
          <w:tcPr>
            <w:tcW w:w="2466" w:type="dxa"/>
            <w:vAlign w:val="center"/>
          </w:tcPr>
          <w:p>
            <w:pPr>
              <w:pStyle w:val="16"/>
            </w:pPr>
            <w:r>
              <w:t>《病媒生物综合管理技术规范环境治理鼠类》</w:t>
            </w:r>
          </w:p>
        </w:tc>
      </w:tr>
      <w:tr>
        <w:trPr>
          <w:trHeight w:val="397" w:hRule="atLeast"/>
          <w:jc w:val="center"/>
        </w:trPr>
        <w:tc>
          <w:tcPr>
            <w:tcW w:w="2466" w:type="dxa"/>
            <w:vAlign w:val="center"/>
          </w:tcPr>
          <w:p>
            <w:pPr>
              <w:pStyle w:val="17"/>
            </w:pPr>
            <w:r>
              <w:t>满意度指标</w:t>
            </w:r>
          </w:p>
        </w:tc>
        <w:tc>
          <w:tcPr>
            <w:tcW w:w="1330" w:type="dxa"/>
            <w:vAlign w:val="center"/>
          </w:tcPr>
          <w:p>
            <w:pPr>
              <w:pStyle w:val="16"/>
            </w:pPr>
            <w:r>
              <w:t>服务对象满意度指标</w:t>
            </w:r>
          </w:p>
        </w:tc>
        <w:tc>
          <w:tcPr>
            <w:tcW w:w="1964" w:type="dxa"/>
            <w:vAlign w:val="center"/>
          </w:tcPr>
          <w:p>
            <w:pPr>
              <w:pStyle w:val="16"/>
            </w:pPr>
            <w:r>
              <w:t>海关满意度</w:t>
            </w:r>
          </w:p>
        </w:tc>
        <w:tc>
          <w:tcPr>
            <w:tcW w:w="4104" w:type="dxa"/>
            <w:vAlign w:val="center"/>
          </w:tcPr>
          <w:p>
            <w:pPr>
              <w:pStyle w:val="16"/>
            </w:pPr>
            <w:r>
              <w:t>为北京海关提供合格的办公产所和监管配套措施，保障协同发展</w:t>
            </w:r>
          </w:p>
        </w:tc>
        <w:tc>
          <w:tcPr>
            <w:tcW w:w="2466" w:type="dxa"/>
            <w:vAlign w:val="center"/>
          </w:tcPr>
          <w:p>
            <w:pPr>
              <w:pStyle w:val="16"/>
            </w:pPr>
            <w:r>
              <w:t>≥95%</w:t>
            </w:r>
          </w:p>
        </w:tc>
        <w:tc>
          <w:tcPr>
            <w:tcW w:w="2466" w:type="dxa"/>
            <w:vAlign w:val="center"/>
          </w:tcPr>
          <w:p>
            <w:pPr>
              <w:pStyle w:val="16"/>
            </w:pPr>
            <w:r>
              <w:t>海关总署《关于综合保税区验收有关工作的通知》（署贸函〔2019〕209号）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、综合警务保障服务经费绩效目标表</w:t>
      </w:r>
    </w:p>
    <w:tbl>
      <w:tblPr>
        <w:tblStyle w:val="8"/>
        <w:tblW w:w="14196"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64"/>
        <w:gridCol w:w="12332"/>
      </w:tblGrid>
      <w:tr>
        <w:trPr>
          <w:trHeight w:val="397" w:hRule="atLeast"/>
          <w:jc w:val="center"/>
        </w:trPr>
        <w:tc>
          <w:tcPr>
            <w:tcW w:w="1864"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1.通过“综合警务保障服务项目”的开展，为临空经济区征迁扫尾攻坚、疫情防控、社会维稳等重点工作的顺利实施提供有力保障，为临空经济区的快速稳健发展保驾护航。</w:t>
            </w:r>
          </w:p>
          <w:p>
            <w:pPr>
              <w:pStyle w:val="16"/>
            </w:pPr>
            <w:r>
              <w:t>2.通过项目开展，完成综合警务保障服务重点工作3个，治安巡逻覆盖率不低于90%，成本控制在预算范围内，保障征迁扫尾攻坚，维护社会稳定。</w:t>
            </w:r>
          </w:p>
        </w:tc>
      </w:tr>
    </w:tbl>
    <w:p>
      <w:pPr>
        <w:spacing w:line="2" w:lineRule="exact"/>
        <w:jc w:val="center"/>
        <w:rPr>
          <w:rFonts w:eastAsia="宋体"/>
          <w:lang w:eastAsia="zh-CN"/>
        </w:rP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综合警务保障服务重点工作方向</w:t>
            </w:r>
          </w:p>
        </w:tc>
        <w:tc>
          <w:tcPr>
            <w:tcW w:w="2835" w:type="dxa"/>
            <w:vAlign w:val="center"/>
          </w:tcPr>
          <w:p>
            <w:pPr>
              <w:pStyle w:val="16"/>
            </w:pPr>
            <w:r>
              <w:t>综合警务保障服务含征迁扫尾攻坚、疫情防控、社会维稳等重点工作。</w:t>
            </w:r>
          </w:p>
        </w:tc>
        <w:tc>
          <w:tcPr>
            <w:tcW w:w="2551" w:type="dxa"/>
            <w:vAlign w:val="center"/>
          </w:tcPr>
          <w:p>
            <w:pPr>
              <w:pStyle w:val="16"/>
            </w:pPr>
            <w:r>
              <w:t>≥3个</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治安巡逻覆盖率</w:t>
            </w:r>
          </w:p>
        </w:tc>
        <w:tc>
          <w:tcPr>
            <w:tcW w:w="2835" w:type="dxa"/>
            <w:vAlign w:val="center"/>
          </w:tcPr>
          <w:p>
            <w:pPr>
              <w:pStyle w:val="16"/>
            </w:pPr>
            <w:r>
              <w:t>治安巡逻覆盖区域面积/区域总面积*100%</w:t>
            </w:r>
          </w:p>
        </w:tc>
        <w:tc>
          <w:tcPr>
            <w:tcW w:w="2551" w:type="dxa"/>
            <w:vAlign w:val="center"/>
          </w:tcPr>
          <w:p>
            <w:pPr>
              <w:pStyle w:val="16"/>
            </w:pPr>
            <w:r>
              <w:t>≥90%</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征迁扫尾攻坚、疫情防控、社会维稳等重点工作完成及时性</w:t>
            </w:r>
          </w:p>
        </w:tc>
        <w:tc>
          <w:tcPr>
            <w:tcW w:w="2835" w:type="dxa"/>
            <w:vAlign w:val="center"/>
          </w:tcPr>
          <w:p>
            <w:pPr>
              <w:pStyle w:val="16"/>
            </w:pPr>
            <w:r>
              <w:t>考察征迁扫尾攻坚、疫情防控、社会维稳等重点工作完成及时情况</w:t>
            </w:r>
          </w:p>
        </w:tc>
        <w:tc>
          <w:tcPr>
            <w:tcW w:w="2551" w:type="dxa"/>
            <w:vAlign w:val="center"/>
          </w:tcPr>
          <w:p>
            <w:pPr>
              <w:pStyle w:val="16"/>
            </w:pPr>
            <w:r>
              <w:t>及时</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综合警务保障服务总成本</w:t>
            </w:r>
          </w:p>
        </w:tc>
        <w:tc>
          <w:tcPr>
            <w:tcW w:w="2835" w:type="dxa"/>
            <w:vAlign w:val="center"/>
          </w:tcPr>
          <w:p>
            <w:pPr>
              <w:pStyle w:val="16"/>
            </w:pPr>
            <w:r>
              <w:t>考察综合警务保障服务总成本控制情况</w:t>
            </w:r>
          </w:p>
        </w:tc>
        <w:tc>
          <w:tcPr>
            <w:tcW w:w="2551" w:type="dxa"/>
            <w:vAlign w:val="center"/>
          </w:tcPr>
          <w:p>
            <w:pPr>
              <w:pStyle w:val="16"/>
            </w:pPr>
            <w:r>
              <w:t>≤283.3万元</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综合警务保障服务平均成本</w:t>
            </w:r>
          </w:p>
        </w:tc>
        <w:tc>
          <w:tcPr>
            <w:tcW w:w="2835" w:type="dxa"/>
            <w:vAlign w:val="center"/>
          </w:tcPr>
          <w:p>
            <w:pPr>
              <w:pStyle w:val="16"/>
            </w:pPr>
            <w:r>
              <w:t>考察综合警务保障服务平均成本控制情况</w:t>
            </w:r>
          </w:p>
        </w:tc>
        <w:tc>
          <w:tcPr>
            <w:tcW w:w="2551" w:type="dxa"/>
            <w:vAlign w:val="center"/>
          </w:tcPr>
          <w:p>
            <w:pPr>
              <w:pStyle w:val="16"/>
            </w:pPr>
            <w:r>
              <w:t>≤31.48万元/月</w:t>
            </w:r>
          </w:p>
        </w:tc>
        <w:tc>
          <w:tcPr>
            <w:tcW w:w="2268" w:type="dxa"/>
            <w:vAlign w:val="center"/>
          </w:tcPr>
          <w:p>
            <w:pPr>
              <w:pStyle w:val="16"/>
            </w:pPr>
            <w:r>
              <w:t>工作计划</w:t>
            </w:r>
          </w:p>
        </w:tc>
      </w:tr>
      <w:tr>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保障征迁扫尾攻坚</w:t>
            </w:r>
          </w:p>
        </w:tc>
        <w:tc>
          <w:tcPr>
            <w:tcW w:w="2835" w:type="dxa"/>
            <w:vAlign w:val="center"/>
          </w:tcPr>
          <w:p>
            <w:pPr>
              <w:pStyle w:val="16"/>
            </w:pPr>
            <w:r>
              <w:t>保障征迁扫尾攻坚</w:t>
            </w:r>
          </w:p>
        </w:tc>
        <w:tc>
          <w:tcPr>
            <w:tcW w:w="2551" w:type="dxa"/>
            <w:vAlign w:val="center"/>
          </w:tcPr>
          <w:p>
            <w:pPr>
              <w:pStyle w:val="16"/>
            </w:pPr>
            <w:r>
              <w:t>保障</w:t>
            </w:r>
          </w:p>
        </w:tc>
        <w:tc>
          <w:tcPr>
            <w:tcW w:w="2268" w:type="dxa"/>
            <w:vAlign w:val="center"/>
          </w:tcPr>
          <w:p>
            <w:pPr>
              <w:pStyle w:val="16"/>
            </w:pPr>
            <w:r>
              <w:t>工作计划</w:t>
            </w:r>
          </w:p>
        </w:tc>
      </w:tr>
      <w:tr>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维护</w:t>
            </w:r>
          </w:p>
        </w:tc>
        <w:tc>
          <w:tcPr>
            <w:tcW w:w="2268" w:type="dxa"/>
            <w:vAlign w:val="center"/>
          </w:tcPr>
          <w:p>
            <w:pPr>
              <w:pStyle w:val="16"/>
            </w:pPr>
            <w:r>
              <w:t>工作计划</w:t>
            </w:r>
          </w:p>
        </w:tc>
      </w:tr>
      <w:tr>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群众对警务工作满意人数/调查总人数*100%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5" w:name="_Toc10352"/>
      <w:r>
        <w:rPr>
          <w:rFonts w:ascii="黑体" w:hAnsi="黑体" w:eastAsia="黑体" w:cs="黑体"/>
          <w:color w:val="000000"/>
          <w:sz w:val="32"/>
        </w:rPr>
        <w:t>六、政府采购预算情况</w:t>
      </w:r>
      <w:bookmarkEnd w:id="5"/>
    </w:p>
    <w:p>
      <w:pPr>
        <w:spacing w:line="500" w:lineRule="exact"/>
        <w:ind w:firstLine="560"/>
      </w:pPr>
      <w:r>
        <w:rPr>
          <w:rFonts w:eastAsia="方正仿宋_GBK" w:cs="Times New Roman"/>
          <w:color w:val="000000"/>
          <w:sz w:val="28"/>
        </w:rPr>
        <w:t>2023年，北京大兴国际机场临空经济区（廊坊）管理委员会安排政府采购预算12806.68万元。具体内容见下表。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8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1"/>
        <w:gridCol w:w="958"/>
        <w:gridCol w:w="866"/>
        <w:gridCol w:w="866"/>
        <w:gridCol w:w="820"/>
        <w:gridCol w:w="563"/>
        <w:gridCol w:w="813"/>
        <w:gridCol w:w="1035"/>
        <w:gridCol w:w="1084"/>
        <w:gridCol w:w="928"/>
        <w:gridCol w:w="1067"/>
        <w:gridCol w:w="881"/>
        <w:gridCol w:w="660"/>
        <w:gridCol w:w="924"/>
        <w:gridCol w:w="924"/>
        <w:gridCol w:w="1016"/>
      </w:tblGrid>
      <w:tr>
        <w:trPr>
          <w:cantSplit/>
          <w:tblHeader/>
          <w:jc w:val="center"/>
        </w:trPr>
        <w:tc>
          <w:tcPr>
            <w:tcW w:w="6357" w:type="dxa"/>
            <w:gridSpan w:val="7"/>
            <w:tcBorders>
              <w:top w:val="single" w:color="FFFFFF" w:sz="6" w:space="0"/>
              <w:left w:val="single" w:color="FFFFFF" w:sz="6" w:space="0"/>
              <w:right w:val="single" w:color="FFFFFF" w:sz="6" w:space="0"/>
            </w:tcBorders>
            <w:vAlign w:val="center"/>
          </w:tcPr>
          <w:p>
            <w:pPr>
              <w:pStyle w:val="13"/>
            </w:pPr>
            <w:r>
              <w:t>101北京大兴国际机场临空经济区（廊坊）管理委员会</w:t>
            </w:r>
          </w:p>
        </w:tc>
        <w:tc>
          <w:tcPr>
            <w:tcW w:w="8519" w:type="dxa"/>
            <w:gridSpan w:val="9"/>
            <w:tcBorders>
              <w:top w:val="single" w:color="FFFFFF" w:sz="6" w:space="0"/>
              <w:left w:val="single" w:color="FFFFFF" w:sz="6" w:space="0"/>
              <w:right w:val="single" w:color="FFFFFF" w:sz="6" w:space="0"/>
            </w:tcBorders>
            <w:vAlign w:val="center"/>
          </w:tcPr>
          <w:p>
            <w:pPr>
              <w:pStyle w:val="28"/>
            </w:pPr>
            <w:r>
              <w:t>单位：万元</w:t>
            </w:r>
          </w:p>
        </w:tc>
      </w:tr>
      <w:tr>
        <w:trPr>
          <w:cantSplit/>
          <w:tblHeader/>
          <w:jc w:val="center"/>
        </w:trPr>
        <w:tc>
          <w:tcPr>
            <w:tcW w:w="2429" w:type="dxa"/>
            <w:gridSpan w:val="2"/>
            <w:vAlign w:val="center"/>
          </w:tcPr>
          <w:p>
            <w:pPr>
              <w:pStyle w:val="14"/>
            </w:pPr>
            <w:r>
              <w:t>政府采购项目来源</w:t>
            </w:r>
          </w:p>
        </w:tc>
        <w:tc>
          <w:tcPr>
            <w:tcW w:w="866" w:type="dxa"/>
            <w:vMerge w:val="restart"/>
            <w:vAlign w:val="center"/>
          </w:tcPr>
          <w:p>
            <w:pPr>
              <w:pStyle w:val="14"/>
            </w:pPr>
            <w:r>
              <w:t>采购物品名称</w:t>
            </w:r>
          </w:p>
        </w:tc>
        <w:tc>
          <w:tcPr>
            <w:tcW w:w="866" w:type="dxa"/>
            <w:vMerge w:val="restart"/>
            <w:vAlign w:val="center"/>
          </w:tcPr>
          <w:p>
            <w:pPr>
              <w:pStyle w:val="14"/>
            </w:pPr>
            <w:r>
              <w:t>政府采购目录序号</w:t>
            </w:r>
          </w:p>
        </w:tc>
        <w:tc>
          <w:tcPr>
            <w:tcW w:w="820" w:type="dxa"/>
            <w:vMerge w:val="restart"/>
            <w:vAlign w:val="center"/>
          </w:tcPr>
          <w:p>
            <w:pPr>
              <w:pStyle w:val="14"/>
            </w:pPr>
            <w:r>
              <w:t>计量单位</w:t>
            </w:r>
          </w:p>
        </w:tc>
        <w:tc>
          <w:tcPr>
            <w:tcW w:w="563" w:type="dxa"/>
            <w:vMerge w:val="restart"/>
            <w:vAlign w:val="center"/>
          </w:tcPr>
          <w:p>
            <w:pPr>
              <w:pStyle w:val="14"/>
            </w:pPr>
            <w:r>
              <w:t>数量</w:t>
            </w:r>
          </w:p>
        </w:tc>
        <w:tc>
          <w:tcPr>
            <w:tcW w:w="813" w:type="dxa"/>
            <w:vMerge w:val="restart"/>
            <w:vAlign w:val="center"/>
          </w:tcPr>
          <w:p>
            <w:pPr>
              <w:pStyle w:val="14"/>
            </w:pPr>
            <w:r>
              <w:t>单价</w:t>
            </w:r>
          </w:p>
        </w:tc>
        <w:tc>
          <w:tcPr>
            <w:tcW w:w="7503" w:type="dxa"/>
            <w:gridSpan w:val="8"/>
            <w:vAlign w:val="center"/>
          </w:tcPr>
          <w:p>
            <w:pPr>
              <w:pStyle w:val="14"/>
            </w:pPr>
            <w:r>
              <w:t>政府采购金额（当年部门预算安排资金）</w:t>
            </w:r>
          </w:p>
        </w:tc>
        <w:tc>
          <w:tcPr>
            <w:tcW w:w="1016" w:type="dxa"/>
            <w:vMerge w:val="restart"/>
            <w:vAlign w:val="center"/>
          </w:tcPr>
          <w:p>
            <w:pPr>
              <w:pStyle w:val="14"/>
            </w:pPr>
            <w:r>
              <w:t>2023年预留中小微企业份额</w:t>
            </w:r>
          </w:p>
        </w:tc>
      </w:tr>
      <w:tr>
        <w:trPr>
          <w:cantSplit/>
          <w:tblHeader/>
          <w:jc w:val="center"/>
        </w:trPr>
        <w:tc>
          <w:tcPr>
            <w:tcW w:w="1471" w:type="dxa"/>
            <w:vAlign w:val="center"/>
          </w:tcPr>
          <w:p>
            <w:pPr>
              <w:pStyle w:val="14"/>
            </w:pPr>
            <w:r>
              <w:t>项目名称</w:t>
            </w:r>
          </w:p>
        </w:tc>
        <w:tc>
          <w:tcPr>
            <w:tcW w:w="958" w:type="dxa"/>
            <w:vAlign w:val="center"/>
          </w:tcPr>
          <w:p>
            <w:pPr>
              <w:pStyle w:val="14"/>
            </w:pPr>
            <w:r>
              <w:t>预算资金</w:t>
            </w:r>
          </w:p>
        </w:tc>
        <w:tc>
          <w:tcPr>
            <w:tcW w:w="866" w:type="dxa"/>
            <w:vMerge w:val="continue"/>
          </w:tcPr>
          <w:p/>
        </w:tc>
        <w:tc>
          <w:tcPr>
            <w:tcW w:w="866" w:type="dxa"/>
            <w:vMerge w:val="continue"/>
          </w:tcPr>
          <w:p/>
        </w:tc>
        <w:tc>
          <w:tcPr>
            <w:tcW w:w="820" w:type="dxa"/>
            <w:vMerge w:val="continue"/>
          </w:tcPr>
          <w:p/>
        </w:tc>
        <w:tc>
          <w:tcPr>
            <w:tcW w:w="563" w:type="dxa"/>
            <w:vMerge w:val="continue"/>
          </w:tcPr>
          <w:p/>
        </w:tc>
        <w:tc>
          <w:tcPr>
            <w:tcW w:w="813" w:type="dxa"/>
            <w:vMerge w:val="continue"/>
          </w:tcPr>
          <w:p/>
        </w:tc>
        <w:tc>
          <w:tcPr>
            <w:tcW w:w="1035" w:type="dxa"/>
            <w:vAlign w:val="center"/>
          </w:tcPr>
          <w:p>
            <w:pPr>
              <w:pStyle w:val="14"/>
            </w:pPr>
            <w:r>
              <w:t>合计</w:t>
            </w:r>
          </w:p>
        </w:tc>
        <w:tc>
          <w:tcPr>
            <w:tcW w:w="1084" w:type="dxa"/>
            <w:vAlign w:val="center"/>
          </w:tcPr>
          <w:p>
            <w:pPr>
              <w:pStyle w:val="14"/>
            </w:pPr>
            <w:r>
              <w:t>一般公共预算拨款</w:t>
            </w:r>
          </w:p>
        </w:tc>
        <w:tc>
          <w:tcPr>
            <w:tcW w:w="928" w:type="dxa"/>
            <w:vAlign w:val="center"/>
          </w:tcPr>
          <w:p>
            <w:pPr>
              <w:pStyle w:val="14"/>
            </w:pPr>
            <w:r>
              <w:t>基金预算拨款</w:t>
            </w:r>
          </w:p>
        </w:tc>
        <w:tc>
          <w:tcPr>
            <w:tcW w:w="1067" w:type="dxa"/>
            <w:vAlign w:val="center"/>
          </w:tcPr>
          <w:p>
            <w:pPr>
              <w:pStyle w:val="14"/>
            </w:pPr>
            <w:r>
              <w:t>国有资本经营预算拨款</w:t>
            </w:r>
          </w:p>
        </w:tc>
        <w:tc>
          <w:tcPr>
            <w:tcW w:w="881" w:type="dxa"/>
            <w:vAlign w:val="center"/>
          </w:tcPr>
          <w:p>
            <w:pPr>
              <w:pStyle w:val="14"/>
            </w:pPr>
            <w:r>
              <w:t>财政专户核拨</w:t>
            </w:r>
          </w:p>
        </w:tc>
        <w:tc>
          <w:tcPr>
            <w:tcW w:w="660" w:type="dxa"/>
            <w:vAlign w:val="center"/>
          </w:tcPr>
          <w:p>
            <w:pPr>
              <w:pStyle w:val="14"/>
            </w:pPr>
            <w:r>
              <w:t>单位资金</w:t>
            </w:r>
          </w:p>
        </w:tc>
        <w:tc>
          <w:tcPr>
            <w:tcW w:w="924" w:type="dxa"/>
            <w:vAlign w:val="center"/>
          </w:tcPr>
          <w:p>
            <w:pPr>
              <w:pStyle w:val="14"/>
            </w:pPr>
            <w:r>
              <w:t>财政拨款结转</w:t>
            </w:r>
          </w:p>
        </w:tc>
        <w:tc>
          <w:tcPr>
            <w:tcW w:w="924" w:type="dxa"/>
            <w:vAlign w:val="center"/>
          </w:tcPr>
          <w:p>
            <w:pPr>
              <w:pStyle w:val="14"/>
            </w:pPr>
            <w:r>
              <w:t>非财政拨款结转结余</w:t>
            </w:r>
          </w:p>
        </w:tc>
        <w:tc>
          <w:tcPr>
            <w:tcW w:w="1016" w:type="dxa"/>
            <w:vMerge w:val="continue"/>
          </w:tcPr>
          <w:p/>
        </w:tc>
      </w:tr>
      <w:tr>
        <w:trPr>
          <w:cantSplit/>
          <w:jc w:val="center"/>
        </w:trPr>
        <w:tc>
          <w:tcPr>
            <w:tcW w:w="1471" w:type="dxa"/>
            <w:vAlign w:val="center"/>
          </w:tcPr>
          <w:p>
            <w:pPr>
              <w:pStyle w:val="18"/>
            </w:pPr>
            <w:r>
              <w:t>合计</w:t>
            </w:r>
          </w:p>
        </w:tc>
        <w:tc>
          <w:tcPr>
            <w:tcW w:w="958" w:type="dxa"/>
            <w:vAlign w:val="center"/>
          </w:tcPr>
          <w:p>
            <w:pPr>
              <w:pStyle w:val="19"/>
            </w:pPr>
          </w:p>
        </w:tc>
        <w:tc>
          <w:tcPr>
            <w:tcW w:w="866" w:type="dxa"/>
            <w:vAlign w:val="center"/>
          </w:tcPr>
          <w:p>
            <w:pPr>
              <w:pStyle w:val="20"/>
            </w:pPr>
          </w:p>
        </w:tc>
        <w:tc>
          <w:tcPr>
            <w:tcW w:w="866" w:type="dxa"/>
            <w:vAlign w:val="center"/>
          </w:tcPr>
          <w:p>
            <w:pPr>
              <w:pStyle w:val="20"/>
            </w:pPr>
          </w:p>
        </w:tc>
        <w:tc>
          <w:tcPr>
            <w:tcW w:w="820" w:type="dxa"/>
            <w:vAlign w:val="center"/>
          </w:tcPr>
          <w:p>
            <w:pPr>
              <w:pStyle w:val="18"/>
            </w:pPr>
          </w:p>
        </w:tc>
        <w:tc>
          <w:tcPr>
            <w:tcW w:w="563" w:type="dxa"/>
            <w:vAlign w:val="center"/>
          </w:tcPr>
          <w:p>
            <w:pPr>
              <w:pStyle w:val="19"/>
            </w:pPr>
          </w:p>
        </w:tc>
        <w:tc>
          <w:tcPr>
            <w:tcW w:w="813" w:type="dxa"/>
            <w:vAlign w:val="center"/>
          </w:tcPr>
          <w:p>
            <w:pPr>
              <w:pStyle w:val="19"/>
            </w:pPr>
          </w:p>
        </w:tc>
        <w:tc>
          <w:tcPr>
            <w:tcW w:w="1035" w:type="dxa"/>
            <w:vAlign w:val="center"/>
          </w:tcPr>
          <w:p>
            <w:pPr>
              <w:pStyle w:val="19"/>
            </w:pPr>
            <w:r>
              <w:t>12806.68</w:t>
            </w:r>
          </w:p>
        </w:tc>
        <w:tc>
          <w:tcPr>
            <w:tcW w:w="1084" w:type="dxa"/>
            <w:vAlign w:val="center"/>
          </w:tcPr>
          <w:p>
            <w:pPr>
              <w:pStyle w:val="19"/>
            </w:pPr>
            <w:r>
              <w:t>9930.84</w:t>
            </w:r>
          </w:p>
        </w:tc>
        <w:tc>
          <w:tcPr>
            <w:tcW w:w="928" w:type="dxa"/>
            <w:vAlign w:val="center"/>
          </w:tcPr>
          <w:p>
            <w:pPr>
              <w:pStyle w:val="19"/>
            </w:pPr>
            <w:r>
              <w:t>2875.84</w:t>
            </w:r>
          </w:p>
        </w:tc>
        <w:tc>
          <w:tcPr>
            <w:tcW w:w="1067" w:type="dxa"/>
            <w:vAlign w:val="center"/>
          </w:tcPr>
          <w:p>
            <w:pPr>
              <w:pStyle w:val="19"/>
            </w:pPr>
          </w:p>
        </w:tc>
        <w:tc>
          <w:tcPr>
            <w:tcW w:w="881" w:type="dxa"/>
            <w:vAlign w:val="center"/>
          </w:tcPr>
          <w:p>
            <w:pPr>
              <w:pStyle w:val="19"/>
            </w:pPr>
          </w:p>
        </w:tc>
        <w:tc>
          <w:tcPr>
            <w:tcW w:w="660" w:type="dxa"/>
            <w:vAlign w:val="center"/>
          </w:tcPr>
          <w:p>
            <w:pPr>
              <w:pStyle w:val="19"/>
            </w:pPr>
          </w:p>
        </w:tc>
        <w:tc>
          <w:tcPr>
            <w:tcW w:w="924" w:type="dxa"/>
            <w:vAlign w:val="center"/>
          </w:tcPr>
          <w:p>
            <w:pPr>
              <w:pStyle w:val="19"/>
            </w:pPr>
          </w:p>
        </w:tc>
        <w:tc>
          <w:tcPr>
            <w:tcW w:w="924" w:type="dxa"/>
            <w:vAlign w:val="center"/>
          </w:tcPr>
          <w:p>
            <w:pPr>
              <w:pStyle w:val="19"/>
            </w:pPr>
          </w:p>
        </w:tc>
        <w:tc>
          <w:tcPr>
            <w:tcW w:w="1016" w:type="dxa"/>
            <w:vAlign w:val="center"/>
          </w:tcPr>
          <w:p>
            <w:pPr>
              <w:pStyle w:val="19"/>
            </w:pPr>
            <w:r>
              <w:t>10945.69</w:t>
            </w:r>
          </w:p>
        </w:tc>
      </w:tr>
      <w:tr>
        <w:trPr>
          <w:cantSplit/>
          <w:jc w:val="center"/>
        </w:trPr>
        <w:tc>
          <w:tcPr>
            <w:tcW w:w="1471" w:type="dxa"/>
            <w:vAlign w:val="center"/>
          </w:tcPr>
          <w:p>
            <w:pPr>
              <w:pStyle w:val="18"/>
              <w:snapToGrid w:val="0"/>
            </w:pPr>
            <w:r>
              <w:rPr>
                <w:b w:val="0"/>
                <w:bCs/>
                <w:sz w:val="18"/>
                <w:szCs w:val="21"/>
              </w:rPr>
              <w:t>北京大兴国际机场临空经济区（廊坊）管理委员会（本级）小计</w:t>
            </w:r>
          </w:p>
        </w:tc>
        <w:tc>
          <w:tcPr>
            <w:tcW w:w="958" w:type="dxa"/>
            <w:vAlign w:val="center"/>
          </w:tcPr>
          <w:p>
            <w:pPr>
              <w:pStyle w:val="19"/>
            </w:pPr>
          </w:p>
        </w:tc>
        <w:tc>
          <w:tcPr>
            <w:tcW w:w="866" w:type="dxa"/>
            <w:vAlign w:val="center"/>
          </w:tcPr>
          <w:p>
            <w:pPr>
              <w:pStyle w:val="20"/>
            </w:pPr>
          </w:p>
        </w:tc>
        <w:tc>
          <w:tcPr>
            <w:tcW w:w="866" w:type="dxa"/>
            <w:vAlign w:val="center"/>
          </w:tcPr>
          <w:p>
            <w:pPr>
              <w:pStyle w:val="20"/>
            </w:pPr>
          </w:p>
        </w:tc>
        <w:tc>
          <w:tcPr>
            <w:tcW w:w="820" w:type="dxa"/>
            <w:vAlign w:val="center"/>
          </w:tcPr>
          <w:p>
            <w:pPr>
              <w:pStyle w:val="18"/>
            </w:pPr>
          </w:p>
        </w:tc>
        <w:tc>
          <w:tcPr>
            <w:tcW w:w="563" w:type="dxa"/>
            <w:vAlign w:val="center"/>
          </w:tcPr>
          <w:p>
            <w:pPr>
              <w:pStyle w:val="19"/>
            </w:pPr>
          </w:p>
        </w:tc>
        <w:tc>
          <w:tcPr>
            <w:tcW w:w="813" w:type="dxa"/>
            <w:vAlign w:val="center"/>
          </w:tcPr>
          <w:p>
            <w:pPr>
              <w:pStyle w:val="19"/>
            </w:pPr>
          </w:p>
        </w:tc>
        <w:tc>
          <w:tcPr>
            <w:tcW w:w="1035" w:type="dxa"/>
            <w:vAlign w:val="center"/>
          </w:tcPr>
          <w:p>
            <w:pPr>
              <w:pStyle w:val="19"/>
            </w:pPr>
            <w:r>
              <w:t>12806.68</w:t>
            </w:r>
          </w:p>
        </w:tc>
        <w:tc>
          <w:tcPr>
            <w:tcW w:w="1084" w:type="dxa"/>
            <w:vAlign w:val="center"/>
          </w:tcPr>
          <w:p>
            <w:pPr>
              <w:pStyle w:val="19"/>
            </w:pPr>
            <w:r>
              <w:t>9930.84</w:t>
            </w:r>
          </w:p>
        </w:tc>
        <w:tc>
          <w:tcPr>
            <w:tcW w:w="928" w:type="dxa"/>
            <w:vAlign w:val="center"/>
          </w:tcPr>
          <w:p>
            <w:pPr>
              <w:pStyle w:val="19"/>
            </w:pPr>
            <w:r>
              <w:t>2875.84</w:t>
            </w:r>
          </w:p>
        </w:tc>
        <w:tc>
          <w:tcPr>
            <w:tcW w:w="1067" w:type="dxa"/>
            <w:vAlign w:val="center"/>
          </w:tcPr>
          <w:p>
            <w:pPr>
              <w:pStyle w:val="19"/>
            </w:pPr>
          </w:p>
        </w:tc>
        <w:tc>
          <w:tcPr>
            <w:tcW w:w="881" w:type="dxa"/>
            <w:vAlign w:val="center"/>
          </w:tcPr>
          <w:p>
            <w:pPr>
              <w:pStyle w:val="19"/>
            </w:pPr>
          </w:p>
        </w:tc>
        <w:tc>
          <w:tcPr>
            <w:tcW w:w="660" w:type="dxa"/>
            <w:vAlign w:val="center"/>
          </w:tcPr>
          <w:p>
            <w:pPr>
              <w:pStyle w:val="19"/>
            </w:pPr>
          </w:p>
        </w:tc>
        <w:tc>
          <w:tcPr>
            <w:tcW w:w="924" w:type="dxa"/>
            <w:vAlign w:val="center"/>
          </w:tcPr>
          <w:p>
            <w:pPr>
              <w:pStyle w:val="19"/>
            </w:pPr>
          </w:p>
        </w:tc>
        <w:tc>
          <w:tcPr>
            <w:tcW w:w="924" w:type="dxa"/>
            <w:vAlign w:val="center"/>
          </w:tcPr>
          <w:p>
            <w:pPr>
              <w:pStyle w:val="19"/>
            </w:pPr>
          </w:p>
        </w:tc>
        <w:tc>
          <w:tcPr>
            <w:tcW w:w="1016" w:type="dxa"/>
            <w:vAlign w:val="center"/>
          </w:tcPr>
          <w:p>
            <w:pPr>
              <w:pStyle w:val="19"/>
            </w:pPr>
            <w:r>
              <w:t>10945.69</w:t>
            </w:r>
          </w:p>
        </w:tc>
      </w:tr>
      <w:tr>
        <w:trPr>
          <w:cantSplit/>
          <w:jc w:val="center"/>
        </w:trPr>
        <w:tc>
          <w:tcPr>
            <w:tcW w:w="1471" w:type="dxa"/>
            <w:vAlign w:val="center"/>
          </w:tcPr>
          <w:p>
            <w:pPr>
              <w:pStyle w:val="16"/>
            </w:pPr>
            <w:r>
              <w:t>2022年购买第三方服务项目</w:t>
            </w:r>
          </w:p>
        </w:tc>
        <w:tc>
          <w:tcPr>
            <w:tcW w:w="958" w:type="dxa"/>
            <w:vAlign w:val="center"/>
          </w:tcPr>
          <w:p>
            <w:pPr>
              <w:pStyle w:val="15"/>
            </w:pPr>
            <w:r>
              <w:t>150.77</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148.77</w:t>
            </w:r>
          </w:p>
        </w:tc>
        <w:tc>
          <w:tcPr>
            <w:tcW w:w="1035" w:type="dxa"/>
            <w:vAlign w:val="center"/>
          </w:tcPr>
          <w:p>
            <w:pPr>
              <w:pStyle w:val="15"/>
            </w:pPr>
            <w:r>
              <w:t>148.77</w:t>
            </w:r>
          </w:p>
        </w:tc>
        <w:tc>
          <w:tcPr>
            <w:tcW w:w="1084" w:type="dxa"/>
            <w:vAlign w:val="center"/>
          </w:tcPr>
          <w:p>
            <w:pPr>
              <w:pStyle w:val="15"/>
            </w:pPr>
            <w:r>
              <w:t>148.77</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148.77</w:t>
            </w:r>
          </w:p>
        </w:tc>
      </w:tr>
      <w:tr>
        <w:trPr>
          <w:cantSplit/>
          <w:jc w:val="center"/>
        </w:trPr>
        <w:tc>
          <w:tcPr>
            <w:tcW w:w="1471" w:type="dxa"/>
            <w:vAlign w:val="center"/>
          </w:tcPr>
          <w:p>
            <w:pPr>
              <w:pStyle w:val="16"/>
            </w:pPr>
            <w:r>
              <w:t>2023年督查督办系统建设项目</w:t>
            </w:r>
          </w:p>
        </w:tc>
        <w:tc>
          <w:tcPr>
            <w:tcW w:w="958" w:type="dxa"/>
            <w:vAlign w:val="center"/>
          </w:tcPr>
          <w:p>
            <w:pPr>
              <w:pStyle w:val="15"/>
            </w:pPr>
            <w:r>
              <w:t>164.60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164.60</w:t>
            </w:r>
          </w:p>
        </w:tc>
        <w:tc>
          <w:tcPr>
            <w:tcW w:w="1035" w:type="dxa"/>
            <w:vAlign w:val="center"/>
          </w:tcPr>
          <w:p>
            <w:pPr>
              <w:pStyle w:val="15"/>
            </w:pPr>
            <w:r>
              <w:t>164.60</w:t>
            </w:r>
          </w:p>
        </w:tc>
        <w:tc>
          <w:tcPr>
            <w:tcW w:w="1084" w:type="dxa"/>
            <w:vAlign w:val="center"/>
          </w:tcPr>
          <w:p>
            <w:pPr>
              <w:pStyle w:val="15"/>
            </w:pPr>
            <w:r>
              <w:t>164.60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164.60</w:t>
            </w:r>
          </w:p>
        </w:tc>
      </w:tr>
      <w:tr>
        <w:trPr>
          <w:cantSplit/>
          <w:jc w:val="center"/>
        </w:trPr>
        <w:tc>
          <w:tcPr>
            <w:tcW w:w="1471" w:type="dxa"/>
            <w:vAlign w:val="center"/>
          </w:tcPr>
          <w:p>
            <w:pPr>
              <w:pStyle w:val="16"/>
            </w:pPr>
            <w:r>
              <w:t>2023年森林检测督查评估项目</w:t>
            </w:r>
          </w:p>
        </w:tc>
        <w:tc>
          <w:tcPr>
            <w:tcW w:w="958" w:type="dxa"/>
            <w:vAlign w:val="center"/>
          </w:tcPr>
          <w:p>
            <w:pPr>
              <w:pStyle w:val="15"/>
            </w:pPr>
            <w:r>
              <w:t>84.00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60.80</w:t>
            </w:r>
          </w:p>
        </w:tc>
        <w:tc>
          <w:tcPr>
            <w:tcW w:w="1035" w:type="dxa"/>
            <w:vAlign w:val="center"/>
          </w:tcPr>
          <w:p>
            <w:pPr>
              <w:pStyle w:val="15"/>
            </w:pPr>
            <w:r>
              <w:t>60.80</w:t>
            </w:r>
          </w:p>
        </w:tc>
        <w:tc>
          <w:tcPr>
            <w:tcW w:w="1084" w:type="dxa"/>
            <w:vAlign w:val="center"/>
          </w:tcPr>
          <w:p>
            <w:pPr>
              <w:pStyle w:val="15"/>
            </w:pPr>
            <w:r>
              <w:t>60.80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60.80</w:t>
            </w:r>
          </w:p>
        </w:tc>
      </w:tr>
      <w:tr>
        <w:trPr>
          <w:cantSplit/>
          <w:jc w:val="center"/>
        </w:trPr>
        <w:tc>
          <w:tcPr>
            <w:tcW w:w="1471" w:type="dxa"/>
            <w:vAlign w:val="center"/>
          </w:tcPr>
          <w:p>
            <w:pPr>
              <w:pStyle w:val="16"/>
            </w:pPr>
            <w:r>
              <w:t>“十四五”公共服务规划项目</w:t>
            </w:r>
          </w:p>
        </w:tc>
        <w:tc>
          <w:tcPr>
            <w:tcW w:w="958" w:type="dxa"/>
            <w:vAlign w:val="center"/>
          </w:tcPr>
          <w:p>
            <w:pPr>
              <w:pStyle w:val="15"/>
            </w:pPr>
            <w:r>
              <w:t>60.00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60.00</w:t>
            </w:r>
          </w:p>
        </w:tc>
        <w:tc>
          <w:tcPr>
            <w:tcW w:w="1035" w:type="dxa"/>
            <w:vAlign w:val="center"/>
          </w:tcPr>
          <w:p>
            <w:pPr>
              <w:pStyle w:val="15"/>
            </w:pPr>
            <w:r>
              <w:t>60.00</w:t>
            </w:r>
          </w:p>
        </w:tc>
        <w:tc>
          <w:tcPr>
            <w:tcW w:w="1084" w:type="dxa"/>
            <w:vAlign w:val="center"/>
          </w:tcPr>
          <w:p>
            <w:pPr>
              <w:pStyle w:val="15"/>
            </w:pPr>
            <w:r>
              <w:t>60.00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60.00</w:t>
            </w:r>
          </w:p>
        </w:tc>
      </w:tr>
      <w:tr>
        <w:trPr>
          <w:cantSplit/>
          <w:jc w:val="center"/>
        </w:trPr>
        <w:tc>
          <w:tcPr>
            <w:tcW w:w="1471" w:type="dxa"/>
            <w:vAlign w:val="center"/>
          </w:tcPr>
          <w:p>
            <w:pPr>
              <w:pStyle w:val="16"/>
            </w:pPr>
            <w:r>
              <w:t>北京大兴国际机场廊坊片区控制性详细规划</w:t>
            </w:r>
          </w:p>
        </w:tc>
        <w:tc>
          <w:tcPr>
            <w:tcW w:w="958" w:type="dxa"/>
            <w:vAlign w:val="center"/>
          </w:tcPr>
          <w:p>
            <w:pPr>
              <w:pStyle w:val="15"/>
            </w:pPr>
            <w:r>
              <w:t>800.00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800.00</w:t>
            </w:r>
          </w:p>
        </w:tc>
        <w:tc>
          <w:tcPr>
            <w:tcW w:w="1035" w:type="dxa"/>
            <w:vAlign w:val="center"/>
          </w:tcPr>
          <w:p>
            <w:pPr>
              <w:pStyle w:val="15"/>
            </w:pPr>
            <w:r>
              <w:t>800.00</w:t>
            </w:r>
          </w:p>
        </w:tc>
        <w:tc>
          <w:tcPr>
            <w:tcW w:w="1084" w:type="dxa"/>
            <w:vAlign w:val="center"/>
          </w:tcPr>
          <w:p>
            <w:pPr>
              <w:pStyle w:val="15"/>
            </w:pPr>
            <w:r>
              <w:t>800.00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800.00</w:t>
            </w:r>
          </w:p>
        </w:tc>
      </w:tr>
      <w:tr>
        <w:trPr>
          <w:cantSplit/>
          <w:jc w:val="center"/>
        </w:trPr>
        <w:tc>
          <w:tcPr>
            <w:tcW w:w="1471" w:type="dxa"/>
            <w:vAlign w:val="center"/>
          </w:tcPr>
          <w:p>
            <w:pPr>
              <w:pStyle w:val="16"/>
            </w:pPr>
            <w:r>
              <w:t>城市环境综合整治</w:t>
            </w:r>
          </w:p>
        </w:tc>
        <w:tc>
          <w:tcPr>
            <w:tcW w:w="958" w:type="dxa"/>
            <w:vAlign w:val="center"/>
          </w:tcPr>
          <w:p>
            <w:pPr>
              <w:pStyle w:val="15"/>
            </w:pPr>
            <w:r>
              <w:t>130.00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130.00</w:t>
            </w:r>
          </w:p>
        </w:tc>
        <w:tc>
          <w:tcPr>
            <w:tcW w:w="1035" w:type="dxa"/>
            <w:vAlign w:val="center"/>
          </w:tcPr>
          <w:p>
            <w:pPr>
              <w:pStyle w:val="15"/>
            </w:pPr>
            <w:r>
              <w:t>130.00</w:t>
            </w:r>
          </w:p>
        </w:tc>
        <w:tc>
          <w:tcPr>
            <w:tcW w:w="1084" w:type="dxa"/>
            <w:vAlign w:val="center"/>
          </w:tcPr>
          <w:p>
            <w:pPr>
              <w:pStyle w:val="15"/>
            </w:pPr>
            <w:r>
              <w:t>130.00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130.00</w:t>
            </w:r>
          </w:p>
        </w:tc>
      </w:tr>
      <w:tr>
        <w:trPr>
          <w:cantSplit/>
          <w:jc w:val="center"/>
        </w:trPr>
        <w:tc>
          <w:tcPr>
            <w:tcW w:w="1471" w:type="dxa"/>
            <w:vAlign w:val="center"/>
          </w:tcPr>
          <w:p>
            <w:pPr>
              <w:pStyle w:val="16"/>
            </w:pPr>
            <w:r>
              <w:t>城市综合管理资金</w:t>
            </w:r>
          </w:p>
        </w:tc>
        <w:tc>
          <w:tcPr>
            <w:tcW w:w="958" w:type="dxa"/>
            <w:vAlign w:val="center"/>
          </w:tcPr>
          <w:p>
            <w:pPr>
              <w:pStyle w:val="15"/>
            </w:pPr>
            <w:r>
              <w:t>3500.00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800.00</w:t>
            </w:r>
          </w:p>
        </w:tc>
        <w:tc>
          <w:tcPr>
            <w:tcW w:w="1035" w:type="dxa"/>
            <w:vAlign w:val="center"/>
          </w:tcPr>
          <w:p>
            <w:pPr>
              <w:pStyle w:val="15"/>
            </w:pPr>
            <w:r>
              <w:t>800.00</w:t>
            </w:r>
          </w:p>
        </w:tc>
        <w:tc>
          <w:tcPr>
            <w:tcW w:w="1084" w:type="dxa"/>
            <w:vAlign w:val="center"/>
          </w:tcPr>
          <w:p>
            <w:pPr>
              <w:pStyle w:val="15"/>
            </w:pPr>
            <w:r>
              <w:t>800.00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800.00</w:t>
            </w:r>
          </w:p>
        </w:tc>
      </w:tr>
      <w:tr>
        <w:trPr>
          <w:cantSplit/>
          <w:jc w:val="center"/>
        </w:trPr>
        <w:tc>
          <w:tcPr>
            <w:tcW w:w="1471" w:type="dxa"/>
            <w:vAlign w:val="center"/>
          </w:tcPr>
          <w:p>
            <w:pPr>
              <w:pStyle w:val="16"/>
            </w:pPr>
            <w:r>
              <w:t>存量建设用地收储勘测定界和权属调查费用</w:t>
            </w:r>
          </w:p>
        </w:tc>
        <w:tc>
          <w:tcPr>
            <w:tcW w:w="958" w:type="dxa"/>
            <w:vAlign w:val="center"/>
          </w:tcPr>
          <w:p>
            <w:pPr>
              <w:pStyle w:val="15"/>
            </w:pPr>
            <w:r>
              <w:t>80.00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w:t>
            </w:r>
          </w:p>
        </w:tc>
        <w:tc>
          <w:tcPr>
            <w:tcW w:w="1035" w:type="dxa"/>
            <w:vAlign w:val="center"/>
          </w:tcPr>
          <w:p>
            <w:pPr>
              <w:pStyle w:val="15"/>
            </w:pPr>
            <w:r>
              <w:t>80.00</w:t>
            </w:r>
          </w:p>
        </w:tc>
        <w:tc>
          <w:tcPr>
            <w:tcW w:w="1084" w:type="dxa"/>
            <w:vAlign w:val="center"/>
          </w:tcPr>
          <w:p>
            <w:pPr>
              <w:pStyle w:val="15"/>
            </w:pPr>
          </w:p>
        </w:tc>
        <w:tc>
          <w:tcPr>
            <w:tcW w:w="928" w:type="dxa"/>
            <w:vAlign w:val="center"/>
          </w:tcPr>
          <w:p>
            <w:pPr>
              <w:pStyle w:val="15"/>
            </w:pPr>
            <w:r>
              <w:t>80.00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w:t>
            </w:r>
          </w:p>
        </w:tc>
      </w:tr>
      <w:tr>
        <w:trPr>
          <w:cantSplit/>
          <w:jc w:val="center"/>
        </w:trPr>
        <w:tc>
          <w:tcPr>
            <w:tcW w:w="1471" w:type="dxa"/>
            <w:vAlign w:val="center"/>
          </w:tcPr>
          <w:p>
            <w:pPr>
              <w:pStyle w:val="16"/>
            </w:pPr>
            <w:r>
              <w:t>发债项目预审选址方案编制和规划衔接方案编制</w:t>
            </w:r>
          </w:p>
        </w:tc>
        <w:tc>
          <w:tcPr>
            <w:tcW w:w="958" w:type="dxa"/>
            <w:vAlign w:val="center"/>
          </w:tcPr>
          <w:p>
            <w:pPr>
              <w:pStyle w:val="15"/>
            </w:pPr>
            <w:r>
              <w:t>80.00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w:t>
            </w:r>
          </w:p>
        </w:tc>
        <w:tc>
          <w:tcPr>
            <w:tcW w:w="1035" w:type="dxa"/>
            <w:vAlign w:val="center"/>
          </w:tcPr>
          <w:p>
            <w:pPr>
              <w:pStyle w:val="15"/>
            </w:pPr>
            <w:r>
              <w:t>80.00</w:t>
            </w:r>
          </w:p>
        </w:tc>
        <w:tc>
          <w:tcPr>
            <w:tcW w:w="1084" w:type="dxa"/>
            <w:vAlign w:val="center"/>
          </w:tcPr>
          <w:p>
            <w:pPr>
              <w:pStyle w:val="15"/>
            </w:pPr>
          </w:p>
        </w:tc>
        <w:tc>
          <w:tcPr>
            <w:tcW w:w="928" w:type="dxa"/>
            <w:vAlign w:val="center"/>
          </w:tcPr>
          <w:p>
            <w:pPr>
              <w:pStyle w:val="15"/>
            </w:pPr>
            <w:r>
              <w:t>80.00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w:t>
            </w:r>
          </w:p>
        </w:tc>
      </w:tr>
      <w:tr>
        <w:trPr>
          <w:cantSplit/>
          <w:jc w:val="center"/>
        </w:trPr>
        <w:tc>
          <w:tcPr>
            <w:tcW w:w="1471" w:type="dxa"/>
            <w:vAlign w:val="center"/>
          </w:tcPr>
          <w:p>
            <w:pPr>
              <w:pStyle w:val="16"/>
            </w:pPr>
            <w:r>
              <w:t>耕地进出平衡及耕地流出整改服务项目</w:t>
            </w:r>
          </w:p>
        </w:tc>
        <w:tc>
          <w:tcPr>
            <w:tcW w:w="958" w:type="dxa"/>
            <w:vAlign w:val="center"/>
          </w:tcPr>
          <w:p>
            <w:pPr>
              <w:pStyle w:val="15"/>
            </w:pPr>
            <w:r>
              <w:t>60.00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60.00</w:t>
            </w:r>
          </w:p>
        </w:tc>
        <w:tc>
          <w:tcPr>
            <w:tcW w:w="1035" w:type="dxa"/>
            <w:vAlign w:val="center"/>
          </w:tcPr>
          <w:p>
            <w:pPr>
              <w:pStyle w:val="15"/>
            </w:pPr>
            <w:r>
              <w:t>60.00</w:t>
            </w:r>
          </w:p>
        </w:tc>
        <w:tc>
          <w:tcPr>
            <w:tcW w:w="1084" w:type="dxa"/>
            <w:vAlign w:val="center"/>
          </w:tcPr>
          <w:p>
            <w:pPr>
              <w:pStyle w:val="15"/>
            </w:pPr>
          </w:p>
        </w:tc>
        <w:tc>
          <w:tcPr>
            <w:tcW w:w="928" w:type="dxa"/>
            <w:vAlign w:val="center"/>
          </w:tcPr>
          <w:p>
            <w:pPr>
              <w:pStyle w:val="15"/>
            </w:pPr>
            <w:r>
              <w:t>60.00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60.00</w:t>
            </w:r>
          </w:p>
        </w:tc>
      </w:tr>
      <w:tr>
        <w:trPr>
          <w:cantSplit/>
          <w:jc w:val="center"/>
        </w:trPr>
        <w:tc>
          <w:tcPr>
            <w:tcW w:w="1471" w:type="dxa"/>
            <w:vAlign w:val="center"/>
          </w:tcPr>
          <w:p>
            <w:pPr>
              <w:pStyle w:val="16"/>
            </w:pPr>
            <w:r>
              <w:t>工程监督抽查抽测费</w:t>
            </w:r>
          </w:p>
        </w:tc>
        <w:tc>
          <w:tcPr>
            <w:tcW w:w="958" w:type="dxa"/>
            <w:vAlign w:val="center"/>
          </w:tcPr>
          <w:p>
            <w:pPr>
              <w:pStyle w:val="15"/>
            </w:pPr>
            <w:r>
              <w:t>50.27</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50.27</w:t>
            </w:r>
          </w:p>
        </w:tc>
        <w:tc>
          <w:tcPr>
            <w:tcW w:w="1035" w:type="dxa"/>
            <w:vAlign w:val="center"/>
          </w:tcPr>
          <w:p>
            <w:pPr>
              <w:pStyle w:val="15"/>
            </w:pPr>
            <w:r>
              <w:t>50.27</w:t>
            </w:r>
          </w:p>
        </w:tc>
        <w:tc>
          <w:tcPr>
            <w:tcW w:w="1084" w:type="dxa"/>
            <w:vAlign w:val="center"/>
          </w:tcPr>
          <w:p>
            <w:pPr>
              <w:pStyle w:val="15"/>
            </w:pPr>
            <w:r>
              <w:t>50.27</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50.27</w:t>
            </w:r>
          </w:p>
        </w:tc>
      </w:tr>
      <w:tr>
        <w:trPr>
          <w:cantSplit/>
          <w:jc w:val="center"/>
        </w:trPr>
        <w:tc>
          <w:tcPr>
            <w:tcW w:w="1471" w:type="dxa"/>
            <w:vAlign w:val="center"/>
          </w:tcPr>
          <w:p>
            <w:pPr>
              <w:pStyle w:val="16"/>
            </w:pPr>
            <w:r>
              <w:t>购买技术服务专项经费</w:t>
            </w:r>
          </w:p>
        </w:tc>
        <w:tc>
          <w:tcPr>
            <w:tcW w:w="958" w:type="dxa"/>
            <w:vAlign w:val="center"/>
          </w:tcPr>
          <w:p>
            <w:pPr>
              <w:pStyle w:val="15"/>
            </w:pPr>
            <w:r>
              <w:t>500.00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482.44</w:t>
            </w:r>
          </w:p>
        </w:tc>
        <w:tc>
          <w:tcPr>
            <w:tcW w:w="1035" w:type="dxa"/>
            <w:vAlign w:val="center"/>
          </w:tcPr>
          <w:p>
            <w:pPr>
              <w:pStyle w:val="15"/>
            </w:pPr>
            <w:r>
              <w:t>482.44</w:t>
            </w:r>
          </w:p>
        </w:tc>
        <w:tc>
          <w:tcPr>
            <w:tcW w:w="1084" w:type="dxa"/>
            <w:vAlign w:val="center"/>
          </w:tcPr>
          <w:p>
            <w:pPr>
              <w:pStyle w:val="15"/>
            </w:pPr>
            <w:r>
              <w:t>482.44</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482.44</w:t>
            </w:r>
          </w:p>
        </w:tc>
      </w:tr>
      <w:tr>
        <w:trPr>
          <w:cantSplit/>
          <w:jc w:val="center"/>
        </w:trPr>
        <w:tc>
          <w:tcPr>
            <w:tcW w:w="1471" w:type="dxa"/>
            <w:vAlign w:val="center"/>
          </w:tcPr>
          <w:p>
            <w:pPr>
              <w:pStyle w:val="16"/>
            </w:pPr>
            <w:r>
              <w:t>规划建设技术咨询服务</w:t>
            </w:r>
          </w:p>
        </w:tc>
        <w:tc>
          <w:tcPr>
            <w:tcW w:w="958" w:type="dxa"/>
            <w:vAlign w:val="center"/>
          </w:tcPr>
          <w:p>
            <w:pPr>
              <w:pStyle w:val="15"/>
            </w:pPr>
            <w:r>
              <w:t>400.00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400.00</w:t>
            </w:r>
          </w:p>
        </w:tc>
        <w:tc>
          <w:tcPr>
            <w:tcW w:w="1035" w:type="dxa"/>
            <w:vAlign w:val="center"/>
          </w:tcPr>
          <w:p>
            <w:pPr>
              <w:pStyle w:val="15"/>
            </w:pPr>
            <w:r>
              <w:t>400.00</w:t>
            </w:r>
          </w:p>
        </w:tc>
        <w:tc>
          <w:tcPr>
            <w:tcW w:w="1084" w:type="dxa"/>
            <w:vAlign w:val="center"/>
          </w:tcPr>
          <w:p>
            <w:pPr>
              <w:pStyle w:val="15"/>
            </w:pPr>
            <w:r>
              <w:t>400.00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400.00</w:t>
            </w:r>
          </w:p>
        </w:tc>
      </w:tr>
      <w:tr>
        <w:trPr>
          <w:cantSplit/>
          <w:jc w:val="center"/>
        </w:trPr>
        <w:tc>
          <w:tcPr>
            <w:tcW w:w="1471" w:type="dxa"/>
            <w:vAlign w:val="center"/>
          </w:tcPr>
          <w:p>
            <w:pPr>
              <w:pStyle w:val="16"/>
            </w:pPr>
            <w:r>
              <w:t>国有存量建设用地土壤环境调查评审咨询服务项目</w:t>
            </w:r>
          </w:p>
        </w:tc>
        <w:tc>
          <w:tcPr>
            <w:tcW w:w="958" w:type="dxa"/>
            <w:vAlign w:val="center"/>
          </w:tcPr>
          <w:p>
            <w:pPr>
              <w:pStyle w:val="15"/>
            </w:pPr>
            <w:r>
              <w:t>80.00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w:t>
            </w:r>
          </w:p>
        </w:tc>
        <w:tc>
          <w:tcPr>
            <w:tcW w:w="1035" w:type="dxa"/>
            <w:vAlign w:val="center"/>
          </w:tcPr>
          <w:p>
            <w:pPr>
              <w:pStyle w:val="15"/>
            </w:pPr>
            <w:r>
              <w:t>80.00</w:t>
            </w:r>
          </w:p>
        </w:tc>
        <w:tc>
          <w:tcPr>
            <w:tcW w:w="1084" w:type="dxa"/>
            <w:vAlign w:val="center"/>
          </w:tcPr>
          <w:p>
            <w:pPr>
              <w:pStyle w:val="15"/>
            </w:pPr>
          </w:p>
        </w:tc>
        <w:tc>
          <w:tcPr>
            <w:tcW w:w="928" w:type="dxa"/>
            <w:vAlign w:val="center"/>
          </w:tcPr>
          <w:p>
            <w:pPr>
              <w:pStyle w:val="15"/>
            </w:pPr>
            <w:r>
              <w:t>80.00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w:t>
            </w:r>
          </w:p>
        </w:tc>
      </w:tr>
      <w:tr>
        <w:trPr>
          <w:cantSplit/>
          <w:jc w:val="center"/>
        </w:trPr>
        <w:tc>
          <w:tcPr>
            <w:tcW w:w="1471" w:type="dxa"/>
            <w:vAlign w:val="center"/>
          </w:tcPr>
          <w:p>
            <w:pPr>
              <w:pStyle w:val="16"/>
            </w:pPr>
            <w:r>
              <w:t>海绵城市建设全过程技术咨询</w:t>
            </w:r>
          </w:p>
        </w:tc>
        <w:tc>
          <w:tcPr>
            <w:tcW w:w="958" w:type="dxa"/>
            <w:vAlign w:val="center"/>
          </w:tcPr>
          <w:p>
            <w:pPr>
              <w:pStyle w:val="15"/>
            </w:pPr>
            <w:r>
              <w:t>70.00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49.60</w:t>
            </w:r>
          </w:p>
        </w:tc>
        <w:tc>
          <w:tcPr>
            <w:tcW w:w="1035" w:type="dxa"/>
            <w:vAlign w:val="center"/>
          </w:tcPr>
          <w:p>
            <w:pPr>
              <w:pStyle w:val="15"/>
            </w:pPr>
            <w:r>
              <w:t>49.60</w:t>
            </w:r>
          </w:p>
        </w:tc>
        <w:tc>
          <w:tcPr>
            <w:tcW w:w="1084" w:type="dxa"/>
            <w:vAlign w:val="center"/>
          </w:tcPr>
          <w:p>
            <w:pPr>
              <w:pStyle w:val="15"/>
            </w:pPr>
            <w:r>
              <w:t>49.60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49.60</w:t>
            </w:r>
          </w:p>
        </w:tc>
      </w:tr>
      <w:tr>
        <w:trPr>
          <w:cantSplit/>
          <w:jc w:val="center"/>
        </w:trPr>
        <w:tc>
          <w:tcPr>
            <w:tcW w:w="1471" w:type="dxa"/>
            <w:vAlign w:val="center"/>
          </w:tcPr>
          <w:p>
            <w:pPr>
              <w:pStyle w:val="16"/>
            </w:pPr>
            <w:r>
              <w:t>航企服务岛北区户外广告与招牌设施专项城市设计</w:t>
            </w:r>
          </w:p>
        </w:tc>
        <w:tc>
          <w:tcPr>
            <w:tcW w:w="958" w:type="dxa"/>
            <w:vAlign w:val="center"/>
          </w:tcPr>
          <w:p>
            <w:pPr>
              <w:pStyle w:val="15"/>
            </w:pPr>
            <w:r>
              <w:t>80.00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w:t>
            </w:r>
          </w:p>
        </w:tc>
        <w:tc>
          <w:tcPr>
            <w:tcW w:w="1035" w:type="dxa"/>
            <w:vAlign w:val="center"/>
          </w:tcPr>
          <w:p>
            <w:pPr>
              <w:pStyle w:val="15"/>
            </w:pPr>
            <w:r>
              <w:t>80.00</w:t>
            </w:r>
          </w:p>
        </w:tc>
        <w:tc>
          <w:tcPr>
            <w:tcW w:w="1084" w:type="dxa"/>
            <w:vAlign w:val="center"/>
          </w:tcPr>
          <w:p>
            <w:pPr>
              <w:pStyle w:val="15"/>
            </w:pPr>
            <w:r>
              <w:t>80.00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w:t>
            </w:r>
          </w:p>
        </w:tc>
      </w:tr>
      <w:tr>
        <w:trPr>
          <w:cantSplit/>
          <w:jc w:val="center"/>
        </w:trPr>
        <w:tc>
          <w:tcPr>
            <w:tcW w:w="1471" w:type="dxa"/>
            <w:vAlign w:val="center"/>
          </w:tcPr>
          <w:p>
            <w:pPr>
              <w:pStyle w:val="16"/>
            </w:pPr>
            <w:r>
              <w:t>建筑垃圾治理及资源化利用专项规划项目</w:t>
            </w:r>
          </w:p>
        </w:tc>
        <w:tc>
          <w:tcPr>
            <w:tcW w:w="958" w:type="dxa"/>
            <w:vAlign w:val="center"/>
          </w:tcPr>
          <w:p>
            <w:pPr>
              <w:pStyle w:val="15"/>
            </w:pPr>
            <w:r>
              <w:t>47.93</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47.93</w:t>
            </w:r>
          </w:p>
        </w:tc>
        <w:tc>
          <w:tcPr>
            <w:tcW w:w="1035" w:type="dxa"/>
            <w:vAlign w:val="center"/>
          </w:tcPr>
          <w:p>
            <w:pPr>
              <w:pStyle w:val="15"/>
            </w:pPr>
            <w:r>
              <w:t>47.93</w:t>
            </w:r>
          </w:p>
        </w:tc>
        <w:tc>
          <w:tcPr>
            <w:tcW w:w="1084" w:type="dxa"/>
            <w:vAlign w:val="center"/>
          </w:tcPr>
          <w:p>
            <w:pPr>
              <w:pStyle w:val="15"/>
            </w:pPr>
            <w:r>
              <w:t>47.93</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47.93</w:t>
            </w:r>
          </w:p>
        </w:tc>
      </w:tr>
      <w:tr>
        <w:trPr>
          <w:cantSplit/>
          <w:jc w:val="center"/>
        </w:trPr>
        <w:tc>
          <w:tcPr>
            <w:tcW w:w="1471" w:type="dxa"/>
            <w:vAlign w:val="center"/>
          </w:tcPr>
          <w:p>
            <w:pPr>
              <w:pStyle w:val="16"/>
            </w:pPr>
            <w:r>
              <w:t>开发区土地集约利用（低效用地调查）监测统计</w:t>
            </w:r>
          </w:p>
        </w:tc>
        <w:tc>
          <w:tcPr>
            <w:tcW w:w="958" w:type="dxa"/>
            <w:vAlign w:val="center"/>
          </w:tcPr>
          <w:p>
            <w:pPr>
              <w:pStyle w:val="15"/>
            </w:pPr>
            <w:r>
              <w:t>32.00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32.00</w:t>
            </w:r>
          </w:p>
        </w:tc>
        <w:tc>
          <w:tcPr>
            <w:tcW w:w="1035" w:type="dxa"/>
            <w:vAlign w:val="center"/>
          </w:tcPr>
          <w:p>
            <w:pPr>
              <w:pStyle w:val="15"/>
            </w:pPr>
            <w:r>
              <w:t>32.00</w:t>
            </w:r>
          </w:p>
        </w:tc>
        <w:tc>
          <w:tcPr>
            <w:tcW w:w="1084" w:type="dxa"/>
            <w:vAlign w:val="center"/>
          </w:tcPr>
          <w:p>
            <w:pPr>
              <w:pStyle w:val="15"/>
            </w:pPr>
          </w:p>
        </w:tc>
        <w:tc>
          <w:tcPr>
            <w:tcW w:w="928" w:type="dxa"/>
            <w:vAlign w:val="center"/>
          </w:tcPr>
          <w:p>
            <w:pPr>
              <w:pStyle w:val="15"/>
            </w:pPr>
            <w:r>
              <w:t>32.00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32.00</w:t>
            </w:r>
          </w:p>
        </w:tc>
      </w:tr>
      <w:tr>
        <w:trPr>
          <w:cantSplit/>
          <w:jc w:val="center"/>
        </w:trPr>
        <w:tc>
          <w:tcPr>
            <w:tcW w:w="1471" w:type="dxa"/>
            <w:vAlign w:val="center"/>
          </w:tcPr>
          <w:p>
            <w:pPr>
              <w:pStyle w:val="16"/>
            </w:pPr>
            <w:r>
              <w:t>跨境电商产业专题研究服务</w:t>
            </w:r>
          </w:p>
        </w:tc>
        <w:tc>
          <w:tcPr>
            <w:tcW w:w="958" w:type="dxa"/>
            <w:vAlign w:val="center"/>
          </w:tcPr>
          <w:p>
            <w:pPr>
              <w:pStyle w:val="15"/>
            </w:pPr>
            <w:r>
              <w:t>80.00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w:t>
            </w:r>
          </w:p>
        </w:tc>
        <w:tc>
          <w:tcPr>
            <w:tcW w:w="1035" w:type="dxa"/>
            <w:vAlign w:val="center"/>
          </w:tcPr>
          <w:p>
            <w:pPr>
              <w:pStyle w:val="15"/>
            </w:pPr>
            <w:r>
              <w:t>80.00</w:t>
            </w:r>
          </w:p>
        </w:tc>
        <w:tc>
          <w:tcPr>
            <w:tcW w:w="1084" w:type="dxa"/>
            <w:vAlign w:val="center"/>
          </w:tcPr>
          <w:p>
            <w:pPr>
              <w:pStyle w:val="15"/>
            </w:pPr>
            <w:r>
              <w:t>80.00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w:t>
            </w:r>
          </w:p>
        </w:tc>
      </w:tr>
      <w:tr>
        <w:trPr>
          <w:cantSplit/>
          <w:jc w:val="center"/>
        </w:trPr>
        <w:tc>
          <w:tcPr>
            <w:tcW w:w="1471" w:type="dxa"/>
            <w:vAlign w:val="center"/>
          </w:tcPr>
          <w:p>
            <w:pPr>
              <w:pStyle w:val="16"/>
            </w:pPr>
            <w:r>
              <w:t>廊坊片区2023年规划建设专题研究</w:t>
            </w:r>
          </w:p>
        </w:tc>
        <w:tc>
          <w:tcPr>
            <w:tcW w:w="958" w:type="dxa"/>
            <w:vAlign w:val="center"/>
          </w:tcPr>
          <w:p>
            <w:pPr>
              <w:pStyle w:val="15"/>
            </w:pPr>
            <w:r>
              <w:t>120.00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120.00</w:t>
            </w:r>
          </w:p>
        </w:tc>
        <w:tc>
          <w:tcPr>
            <w:tcW w:w="1035" w:type="dxa"/>
            <w:vAlign w:val="center"/>
          </w:tcPr>
          <w:p>
            <w:pPr>
              <w:pStyle w:val="15"/>
            </w:pPr>
            <w:r>
              <w:t>120.00</w:t>
            </w:r>
          </w:p>
        </w:tc>
        <w:tc>
          <w:tcPr>
            <w:tcW w:w="1084" w:type="dxa"/>
            <w:vAlign w:val="center"/>
          </w:tcPr>
          <w:p>
            <w:pPr>
              <w:pStyle w:val="15"/>
            </w:pPr>
            <w:r>
              <w:t>120.00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120.00</w:t>
            </w:r>
          </w:p>
        </w:tc>
      </w:tr>
      <w:tr>
        <w:trPr>
          <w:cantSplit/>
          <w:jc w:val="center"/>
        </w:trPr>
        <w:tc>
          <w:tcPr>
            <w:tcW w:w="1471" w:type="dxa"/>
            <w:vAlign w:val="center"/>
          </w:tcPr>
          <w:p>
            <w:pPr>
              <w:pStyle w:val="16"/>
            </w:pPr>
            <w:r>
              <w:t>林业有害生物防治项目</w:t>
            </w:r>
          </w:p>
        </w:tc>
        <w:tc>
          <w:tcPr>
            <w:tcW w:w="958" w:type="dxa"/>
            <w:vAlign w:val="center"/>
          </w:tcPr>
          <w:p>
            <w:pPr>
              <w:pStyle w:val="15"/>
            </w:pPr>
            <w:r>
              <w:t>150.00</w:t>
            </w:r>
          </w:p>
        </w:tc>
        <w:tc>
          <w:tcPr>
            <w:tcW w:w="866" w:type="dxa"/>
            <w:vAlign w:val="center"/>
          </w:tcPr>
          <w:p>
            <w:pPr>
              <w:pStyle w:val="16"/>
            </w:pPr>
            <w:r>
              <w:t>其他生态环境保护和治理服务</w:t>
            </w:r>
          </w:p>
        </w:tc>
        <w:tc>
          <w:tcPr>
            <w:tcW w:w="866" w:type="dxa"/>
            <w:vAlign w:val="center"/>
          </w:tcPr>
          <w:p>
            <w:pPr>
              <w:pStyle w:val="16"/>
            </w:pPr>
            <w:r>
              <w:t>C07990000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150.00</w:t>
            </w:r>
          </w:p>
        </w:tc>
        <w:tc>
          <w:tcPr>
            <w:tcW w:w="1035" w:type="dxa"/>
            <w:vAlign w:val="center"/>
          </w:tcPr>
          <w:p>
            <w:pPr>
              <w:pStyle w:val="15"/>
            </w:pPr>
            <w:r>
              <w:t>150.00</w:t>
            </w:r>
          </w:p>
        </w:tc>
        <w:tc>
          <w:tcPr>
            <w:tcW w:w="1084" w:type="dxa"/>
            <w:vAlign w:val="center"/>
          </w:tcPr>
          <w:p>
            <w:pPr>
              <w:pStyle w:val="15"/>
            </w:pPr>
            <w:r>
              <w:t>150.00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150.00</w:t>
            </w:r>
          </w:p>
        </w:tc>
      </w:tr>
      <w:tr>
        <w:trPr>
          <w:cantSplit/>
          <w:jc w:val="center"/>
        </w:trPr>
        <w:tc>
          <w:tcPr>
            <w:tcW w:w="1471" w:type="dxa"/>
            <w:vAlign w:val="center"/>
          </w:tcPr>
          <w:p>
            <w:pPr>
              <w:pStyle w:val="16"/>
            </w:pPr>
            <w:r>
              <w:t>临空二小开办经费</w:t>
            </w:r>
          </w:p>
        </w:tc>
        <w:tc>
          <w:tcPr>
            <w:tcW w:w="958" w:type="dxa"/>
            <w:vAlign w:val="center"/>
          </w:tcPr>
          <w:p>
            <w:pPr>
              <w:pStyle w:val="15"/>
            </w:pPr>
            <w:r>
              <w:t>1470.59</w:t>
            </w:r>
          </w:p>
        </w:tc>
        <w:tc>
          <w:tcPr>
            <w:tcW w:w="866" w:type="dxa"/>
            <w:vAlign w:val="center"/>
          </w:tcPr>
          <w:p>
            <w:pPr>
              <w:pStyle w:val="16"/>
            </w:pPr>
            <w:r>
              <w:t>其他办公设备</w:t>
            </w:r>
          </w:p>
        </w:tc>
        <w:tc>
          <w:tcPr>
            <w:tcW w:w="866" w:type="dxa"/>
            <w:vAlign w:val="center"/>
          </w:tcPr>
          <w:p>
            <w:pPr>
              <w:pStyle w:val="16"/>
            </w:pPr>
            <w:r>
              <w:t>A02029900</w:t>
            </w:r>
          </w:p>
        </w:tc>
        <w:tc>
          <w:tcPr>
            <w:tcW w:w="820" w:type="dxa"/>
            <w:vAlign w:val="center"/>
          </w:tcPr>
          <w:p>
            <w:pPr>
              <w:pStyle w:val="17"/>
            </w:pPr>
            <w:r>
              <w:t>批</w:t>
            </w:r>
          </w:p>
        </w:tc>
        <w:tc>
          <w:tcPr>
            <w:tcW w:w="563" w:type="dxa"/>
            <w:vAlign w:val="center"/>
          </w:tcPr>
          <w:p>
            <w:pPr>
              <w:pStyle w:val="15"/>
            </w:pPr>
            <w:r>
              <w:t>1</w:t>
            </w:r>
          </w:p>
        </w:tc>
        <w:tc>
          <w:tcPr>
            <w:tcW w:w="813" w:type="dxa"/>
            <w:vAlign w:val="center"/>
          </w:tcPr>
          <w:p>
            <w:pPr>
              <w:pStyle w:val="15"/>
            </w:pPr>
            <w:r>
              <w:t>1052.56</w:t>
            </w:r>
          </w:p>
        </w:tc>
        <w:tc>
          <w:tcPr>
            <w:tcW w:w="1035" w:type="dxa"/>
            <w:vAlign w:val="center"/>
          </w:tcPr>
          <w:p>
            <w:pPr>
              <w:pStyle w:val="15"/>
            </w:pPr>
            <w:r>
              <w:t>1052.56</w:t>
            </w:r>
          </w:p>
        </w:tc>
        <w:tc>
          <w:tcPr>
            <w:tcW w:w="1084" w:type="dxa"/>
            <w:vAlign w:val="center"/>
          </w:tcPr>
          <w:p>
            <w:pPr>
              <w:pStyle w:val="15"/>
            </w:pPr>
            <w:r>
              <w:t>1052.56</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315.77</w:t>
            </w:r>
          </w:p>
        </w:tc>
      </w:tr>
      <w:tr>
        <w:trPr>
          <w:cantSplit/>
          <w:jc w:val="center"/>
        </w:trPr>
        <w:tc>
          <w:tcPr>
            <w:tcW w:w="1471" w:type="dxa"/>
            <w:vAlign w:val="center"/>
          </w:tcPr>
          <w:p>
            <w:pPr>
              <w:pStyle w:val="16"/>
            </w:pPr>
            <w:r>
              <w:t>临空二小开办经费</w:t>
            </w:r>
          </w:p>
        </w:tc>
        <w:tc>
          <w:tcPr>
            <w:tcW w:w="958" w:type="dxa"/>
            <w:vAlign w:val="center"/>
          </w:tcPr>
          <w:p>
            <w:pPr>
              <w:pStyle w:val="15"/>
            </w:pPr>
            <w:r>
              <w:t>1470.59</w:t>
            </w:r>
          </w:p>
        </w:tc>
        <w:tc>
          <w:tcPr>
            <w:tcW w:w="866" w:type="dxa"/>
            <w:vAlign w:val="center"/>
          </w:tcPr>
          <w:p>
            <w:pPr>
              <w:pStyle w:val="16"/>
            </w:pPr>
            <w:r>
              <w:t>物业管理服务</w:t>
            </w:r>
          </w:p>
        </w:tc>
        <w:tc>
          <w:tcPr>
            <w:tcW w:w="866" w:type="dxa"/>
            <w:vAlign w:val="center"/>
          </w:tcPr>
          <w:p>
            <w:pPr>
              <w:pStyle w:val="16"/>
            </w:pPr>
            <w:r>
              <w:t>C21040000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86.40</w:t>
            </w:r>
          </w:p>
        </w:tc>
        <w:tc>
          <w:tcPr>
            <w:tcW w:w="1035" w:type="dxa"/>
            <w:vAlign w:val="center"/>
          </w:tcPr>
          <w:p>
            <w:pPr>
              <w:pStyle w:val="15"/>
            </w:pPr>
            <w:r>
              <w:t>86.40</w:t>
            </w:r>
          </w:p>
        </w:tc>
        <w:tc>
          <w:tcPr>
            <w:tcW w:w="1084" w:type="dxa"/>
            <w:vAlign w:val="center"/>
          </w:tcPr>
          <w:p>
            <w:pPr>
              <w:pStyle w:val="15"/>
            </w:pPr>
            <w:r>
              <w:t>86.40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86.40</w:t>
            </w:r>
          </w:p>
        </w:tc>
      </w:tr>
      <w:tr>
        <w:trPr>
          <w:cantSplit/>
          <w:jc w:val="center"/>
        </w:trPr>
        <w:tc>
          <w:tcPr>
            <w:tcW w:w="1471" w:type="dxa"/>
            <w:vAlign w:val="center"/>
          </w:tcPr>
          <w:p>
            <w:pPr>
              <w:pStyle w:val="16"/>
            </w:pPr>
            <w:r>
              <w:t>临空回迁区12班幼儿园开办经费</w:t>
            </w:r>
          </w:p>
        </w:tc>
        <w:tc>
          <w:tcPr>
            <w:tcW w:w="958" w:type="dxa"/>
            <w:vAlign w:val="center"/>
          </w:tcPr>
          <w:p>
            <w:pPr>
              <w:pStyle w:val="15"/>
            </w:pPr>
            <w:r>
              <w:t>1143.61</w:t>
            </w:r>
          </w:p>
        </w:tc>
        <w:tc>
          <w:tcPr>
            <w:tcW w:w="866" w:type="dxa"/>
            <w:vAlign w:val="center"/>
          </w:tcPr>
          <w:p>
            <w:pPr>
              <w:pStyle w:val="16"/>
            </w:pPr>
            <w:r>
              <w:t>其他办公设备</w:t>
            </w:r>
          </w:p>
        </w:tc>
        <w:tc>
          <w:tcPr>
            <w:tcW w:w="866" w:type="dxa"/>
            <w:vAlign w:val="center"/>
          </w:tcPr>
          <w:p>
            <w:pPr>
              <w:pStyle w:val="16"/>
            </w:pPr>
            <w:r>
              <w:t>A02029900</w:t>
            </w:r>
          </w:p>
        </w:tc>
        <w:tc>
          <w:tcPr>
            <w:tcW w:w="820" w:type="dxa"/>
            <w:vAlign w:val="center"/>
          </w:tcPr>
          <w:p>
            <w:pPr>
              <w:pStyle w:val="17"/>
            </w:pPr>
            <w:r>
              <w:t>1</w:t>
            </w:r>
          </w:p>
        </w:tc>
        <w:tc>
          <w:tcPr>
            <w:tcW w:w="563" w:type="dxa"/>
            <w:vAlign w:val="center"/>
          </w:tcPr>
          <w:p>
            <w:pPr>
              <w:pStyle w:val="15"/>
            </w:pPr>
            <w:r>
              <w:t>1</w:t>
            </w:r>
          </w:p>
        </w:tc>
        <w:tc>
          <w:tcPr>
            <w:tcW w:w="813" w:type="dxa"/>
            <w:vAlign w:val="center"/>
          </w:tcPr>
          <w:p>
            <w:pPr>
              <w:pStyle w:val="15"/>
            </w:pPr>
            <w:r>
              <w:t>572.08</w:t>
            </w:r>
          </w:p>
        </w:tc>
        <w:tc>
          <w:tcPr>
            <w:tcW w:w="1035" w:type="dxa"/>
            <w:vAlign w:val="center"/>
          </w:tcPr>
          <w:p>
            <w:pPr>
              <w:pStyle w:val="15"/>
            </w:pPr>
            <w:r>
              <w:t>572.08</w:t>
            </w:r>
          </w:p>
        </w:tc>
        <w:tc>
          <w:tcPr>
            <w:tcW w:w="1084" w:type="dxa"/>
            <w:vAlign w:val="center"/>
          </w:tcPr>
          <w:p>
            <w:pPr>
              <w:pStyle w:val="15"/>
            </w:pPr>
            <w:r>
              <w:t>572.08</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572.08</w:t>
            </w:r>
          </w:p>
        </w:tc>
      </w:tr>
      <w:tr>
        <w:trPr>
          <w:cantSplit/>
          <w:jc w:val="center"/>
        </w:trPr>
        <w:tc>
          <w:tcPr>
            <w:tcW w:w="1471" w:type="dxa"/>
            <w:vAlign w:val="center"/>
          </w:tcPr>
          <w:p>
            <w:pPr>
              <w:pStyle w:val="16"/>
            </w:pPr>
            <w:r>
              <w:t>临空回迁区12班幼儿园开办经费</w:t>
            </w:r>
          </w:p>
        </w:tc>
        <w:tc>
          <w:tcPr>
            <w:tcW w:w="958" w:type="dxa"/>
            <w:vAlign w:val="center"/>
          </w:tcPr>
          <w:p>
            <w:pPr>
              <w:pStyle w:val="15"/>
            </w:pPr>
            <w:r>
              <w:t>1143.61</w:t>
            </w:r>
          </w:p>
        </w:tc>
        <w:tc>
          <w:tcPr>
            <w:tcW w:w="866" w:type="dxa"/>
            <w:vAlign w:val="center"/>
          </w:tcPr>
          <w:p>
            <w:pPr>
              <w:pStyle w:val="16"/>
            </w:pPr>
            <w:r>
              <w:t>装修工程</w:t>
            </w:r>
          </w:p>
        </w:tc>
        <w:tc>
          <w:tcPr>
            <w:tcW w:w="866" w:type="dxa"/>
            <w:vAlign w:val="center"/>
          </w:tcPr>
          <w:p>
            <w:pPr>
              <w:pStyle w:val="16"/>
            </w:pPr>
            <w:r>
              <w:t>B07000000</w:t>
            </w:r>
          </w:p>
        </w:tc>
        <w:tc>
          <w:tcPr>
            <w:tcW w:w="820" w:type="dxa"/>
            <w:vAlign w:val="center"/>
          </w:tcPr>
          <w:p>
            <w:pPr>
              <w:pStyle w:val="17"/>
            </w:pPr>
            <w:r>
              <w:t>1</w:t>
            </w:r>
          </w:p>
        </w:tc>
        <w:tc>
          <w:tcPr>
            <w:tcW w:w="563" w:type="dxa"/>
            <w:vAlign w:val="center"/>
          </w:tcPr>
          <w:p>
            <w:pPr>
              <w:pStyle w:val="15"/>
            </w:pPr>
            <w:r>
              <w:t>1</w:t>
            </w:r>
          </w:p>
        </w:tc>
        <w:tc>
          <w:tcPr>
            <w:tcW w:w="813" w:type="dxa"/>
            <w:vAlign w:val="center"/>
          </w:tcPr>
          <w:p>
            <w:pPr>
              <w:pStyle w:val="15"/>
            </w:pPr>
            <w:r>
              <w:t>350.91</w:t>
            </w:r>
          </w:p>
        </w:tc>
        <w:tc>
          <w:tcPr>
            <w:tcW w:w="1035" w:type="dxa"/>
            <w:vAlign w:val="center"/>
          </w:tcPr>
          <w:p>
            <w:pPr>
              <w:pStyle w:val="15"/>
            </w:pPr>
            <w:r>
              <w:t>350.91</w:t>
            </w:r>
          </w:p>
        </w:tc>
        <w:tc>
          <w:tcPr>
            <w:tcW w:w="1084" w:type="dxa"/>
            <w:vAlign w:val="center"/>
          </w:tcPr>
          <w:p>
            <w:pPr>
              <w:pStyle w:val="15"/>
            </w:pPr>
            <w:r>
              <w:t>350.91</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350.91</w:t>
            </w:r>
          </w:p>
        </w:tc>
      </w:tr>
      <w:tr>
        <w:trPr>
          <w:cantSplit/>
          <w:jc w:val="center"/>
        </w:trPr>
        <w:tc>
          <w:tcPr>
            <w:tcW w:w="1471" w:type="dxa"/>
            <w:vAlign w:val="center"/>
          </w:tcPr>
          <w:p>
            <w:pPr>
              <w:pStyle w:val="16"/>
            </w:pPr>
            <w:r>
              <w:t>临空区战略咨询研究经费</w:t>
            </w:r>
          </w:p>
        </w:tc>
        <w:tc>
          <w:tcPr>
            <w:tcW w:w="958" w:type="dxa"/>
            <w:vAlign w:val="center"/>
          </w:tcPr>
          <w:p>
            <w:pPr>
              <w:pStyle w:val="15"/>
            </w:pPr>
            <w:r>
              <w:t>700.00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700.00</w:t>
            </w:r>
          </w:p>
        </w:tc>
        <w:tc>
          <w:tcPr>
            <w:tcW w:w="1035" w:type="dxa"/>
            <w:vAlign w:val="center"/>
          </w:tcPr>
          <w:p>
            <w:pPr>
              <w:pStyle w:val="15"/>
            </w:pPr>
            <w:r>
              <w:t>700.00</w:t>
            </w:r>
          </w:p>
        </w:tc>
        <w:tc>
          <w:tcPr>
            <w:tcW w:w="1084" w:type="dxa"/>
            <w:vAlign w:val="center"/>
          </w:tcPr>
          <w:p>
            <w:pPr>
              <w:pStyle w:val="15"/>
            </w:pPr>
            <w:r>
              <w:t>700.00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p>
        </w:tc>
      </w:tr>
      <w:tr>
        <w:trPr>
          <w:cantSplit/>
          <w:jc w:val="center"/>
        </w:trPr>
        <w:tc>
          <w:tcPr>
            <w:tcW w:w="1471" w:type="dxa"/>
            <w:vAlign w:val="center"/>
          </w:tcPr>
          <w:p>
            <w:pPr>
              <w:pStyle w:val="16"/>
            </w:pPr>
            <w:r>
              <w:t>临空区综合保障服务资金</w:t>
            </w:r>
          </w:p>
        </w:tc>
        <w:tc>
          <w:tcPr>
            <w:tcW w:w="958" w:type="dxa"/>
            <w:vAlign w:val="center"/>
          </w:tcPr>
          <w:p>
            <w:pPr>
              <w:pStyle w:val="15"/>
            </w:pPr>
            <w:r>
              <w:t>2000.00</w:t>
            </w:r>
          </w:p>
        </w:tc>
        <w:tc>
          <w:tcPr>
            <w:tcW w:w="866" w:type="dxa"/>
            <w:vAlign w:val="center"/>
          </w:tcPr>
          <w:p>
            <w:pPr>
              <w:pStyle w:val="16"/>
            </w:pPr>
            <w:r>
              <w:t>其他服务</w:t>
            </w:r>
          </w:p>
        </w:tc>
        <w:tc>
          <w:tcPr>
            <w:tcW w:w="866" w:type="dxa"/>
            <w:vAlign w:val="center"/>
          </w:tcPr>
          <w:p>
            <w:pPr>
              <w:pStyle w:val="16"/>
            </w:pPr>
            <w:r>
              <w:t>C99000000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953.80</w:t>
            </w:r>
          </w:p>
        </w:tc>
        <w:tc>
          <w:tcPr>
            <w:tcW w:w="1035" w:type="dxa"/>
            <w:vAlign w:val="center"/>
          </w:tcPr>
          <w:p>
            <w:pPr>
              <w:pStyle w:val="15"/>
            </w:pPr>
            <w:r>
              <w:t>953.80</w:t>
            </w:r>
          </w:p>
        </w:tc>
        <w:tc>
          <w:tcPr>
            <w:tcW w:w="1084" w:type="dxa"/>
            <w:vAlign w:val="center"/>
          </w:tcPr>
          <w:p>
            <w:pPr>
              <w:pStyle w:val="15"/>
            </w:pPr>
            <w:r>
              <w:t>953.80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953.80</w:t>
            </w:r>
          </w:p>
        </w:tc>
      </w:tr>
      <w:tr>
        <w:trPr>
          <w:cantSplit/>
          <w:jc w:val="center"/>
        </w:trPr>
        <w:tc>
          <w:tcPr>
            <w:tcW w:w="1471" w:type="dxa"/>
            <w:vAlign w:val="center"/>
          </w:tcPr>
          <w:p>
            <w:pPr>
              <w:pStyle w:val="16"/>
            </w:pPr>
            <w:r>
              <w:t>企业服务运行辅助服务</w:t>
            </w:r>
          </w:p>
        </w:tc>
        <w:tc>
          <w:tcPr>
            <w:tcW w:w="958" w:type="dxa"/>
            <w:vAlign w:val="center"/>
          </w:tcPr>
          <w:p>
            <w:pPr>
              <w:pStyle w:val="15"/>
            </w:pPr>
            <w:r>
              <w:t>60.00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60.00</w:t>
            </w:r>
          </w:p>
        </w:tc>
        <w:tc>
          <w:tcPr>
            <w:tcW w:w="1035" w:type="dxa"/>
            <w:vAlign w:val="center"/>
          </w:tcPr>
          <w:p>
            <w:pPr>
              <w:pStyle w:val="15"/>
            </w:pPr>
            <w:r>
              <w:t>60.00</w:t>
            </w:r>
          </w:p>
        </w:tc>
        <w:tc>
          <w:tcPr>
            <w:tcW w:w="1084" w:type="dxa"/>
            <w:vAlign w:val="center"/>
          </w:tcPr>
          <w:p>
            <w:pPr>
              <w:pStyle w:val="15"/>
            </w:pPr>
            <w:r>
              <w:t>60.00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60.00</w:t>
            </w:r>
          </w:p>
        </w:tc>
      </w:tr>
      <w:tr>
        <w:trPr>
          <w:cantSplit/>
          <w:jc w:val="center"/>
        </w:trPr>
        <w:tc>
          <w:tcPr>
            <w:tcW w:w="1471" w:type="dxa"/>
            <w:vAlign w:val="center"/>
          </w:tcPr>
          <w:p>
            <w:pPr>
              <w:pStyle w:val="16"/>
            </w:pPr>
            <w:r>
              <w:t>审计服务项目</w:t>
            </w:r>
          </w:p>
        </w:tc>
        <w:tc>
          <w:tcPr>
            <w:tcW w:w="958" w:type="dxa"/>
            <w:vAlign w:val="center"/>
          </w:tcPr>
          <w:p>
            <w:pPr>
              <w:pStyle w:val="15"/>
            </w:pPr>
            <w:r>
              <w:t>70.00</w:t>
            </w:r>
          </w:p>
        </w:tc>
        <w:tc>
          <w:tcPr>
            <w:tcW w:w="866" w:type="dxa"/>
            <w:vAlign w:val="center"/>
          </w:tcPr>
          <w:p>
            <w:pPr>
              <w:pStyle w:val="16"/>
            </w:pPr>
            <w:r>
              <w:t>审计服务</w:t>
            </w:r>
          </w:p>
        </w:tc>
        <w:tc>
          <w:tcPr>
            <w:tcW w:w="866" w:type="dxa"/>
            <w:vAlign w:val="center"/>
          </w:tcPr>
          <w:p>
            <w:pPr>
              <w:pStyle w:val="16"/>
            </w:pPr>
            <w:r>
              <w:t>C23030000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70.00</w:t>
            </w:r>
          </w:p>
        </w:tc>
        <w:tc>
          <w:tcPr>
            <w:tcW w:w="1035" w:type="dxa"/>
            <w:vAlign w:val="center"/>
          </w:tcPr>
          <w:p>
            <w:pPr>
              <w:pStyle w:val="15"/>
            </w:pPr>
            <w:r>
              <w:t>70.00</w:t>
            </w:r>
          </w:p>
        </w:tc>
        <w:tc>
          <w:tcPr>
            <w:tcW w:w="1084" w:type="dxa"/>
            <w:vAlign w:val="center"/>
          </w:tcPr>
          <w:p>
            <w:pPr>
              <w:pStyle w:val="15"/>
            </w:pPr>
            <w:r>
              <w:t>70.00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70.00</w:t>
            </w:r>
          </w:p>
        </w:tc>
      </w:tr>
      <w:tr>
        <w:trPr>
          <w:cantSplit/>
          <w:jc w:val="center"/>
        </w:trPr>
        <w:tc>
          <w:tcPr>
            <w:tcW w:w="1471" w:type="dxa"/>
            <w:vAlign w:val="center"/>
          </w:tcPr>
          <w:p>
            <w:pPr>
              <w:pStyle w:val="16"/>
            </w:pPr>
            <w:r>
              <w:t>市容市貌提升工作</w:t>
            </w:r>
          </w:p>
        </w:tc>
        <w:tc>
          <w:tcPr>
            <w:tcW w:w="958" w:type="dxa"/>
            <w:vAlign w:val="center"/>
          </w:tcPr>
          <w:p>
            <w:pPr>
              <w:pStyle w:val="15"/>
            </w:pPr>
            <w:r>
              <w:t>170.00</w:t>
            </w:r>
          </w:p>
        </w:tc>
        <w:tc>
          <w:tcPr>
            <w:tcW w:w="866" w:type="dxa"/>
            <w:vAlign w:val="center"/>
          </w:tcPr>
          <w:p>
            <w:pPr>
              <w:pStyle w:val="16"/>
            </w:pPr>
            <w:r>
              <w:t>市容管理服务</w:t>
            </w:r>
          </w:p>
        </w:tc>
        <w:tc>
          <w:tcPr>
            <w:tcW w:w="866" w:type="dxa"/>
            <w:vAlign w:val="center"/>
          </w:tcPr>
          <w:p>
            <w:pPr>
              <w:pStyle w:val="16"/>
            </w:pPr>
            <w:r>
              <w:t>C13040000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170.00</w:t>
            </w:r>
          </w:p>
        </w:tc>
        <w:tc>
          <w:tcPr>
            <w:tcW w:w="1035" w:type="dxa"/>
            <w:vAlign w:val="center"/>
          </w:tcPr>
          <w:p>
            <w:pPr>
              <w:pStyle w:val="15"/>
            </w:pPr>
            <w:r>
              <w:t>170.00</w:t>
            </w:r>
          </w:p>
        </w:tc>
        <w:tc>
          <w:tcPr>
            <w:tcW w:w="1084" w:type="dxa"/>
            <w:vAlign w:val="center"/>
          </w:tcPr>
          <w:p>
            <w:pPr>
              <w:pStyle w:val="15"/>
            </w:pPr>
            <w:r>
              <w:t>170.00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170.00</w:t>
            </w:r>
          </w:p>
        </w:tc>
      </w:tr>
      <w:tr>
        <w:trPr>
          <w:cantSplit/>
          <w:jc w:val="center"/>
        </w:trPr>
        <w:tc>
          <w:tcPr>
            <w:tcW w:w="1471" w:type="dxa"/>
            <w:vAlign w:val="center"/>
          </w:tcPr>
          <w:p>
            <w:pPr>
              <w:pStyle w:val="16"/>
            </w:pPr>
            <w:r>
              <w:t>土地储备供应咨询及服务费</w:t>
            </w:r>
          </w:p>
        </w:tc>
        <w:tc>
          <w:tcPr>
            <w:tcW w:w="958" w:type="dxa"/>
            <w:vAlign w:val="center"/>
          </w:tcPr>
          <w:p>
            <w:pPr>
              <w:pStyle w:val="15"/>
            </w:pPr>
            <w:r>
              <w:t>360.00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336.00</w:t>
            </w:r>
          </w:p>
        </w:tc>
        <w:tc>
          <w:tcPr>
            <w:tcW w:w="1035" w:type="dxa"/>
            <w:vAlign w:val="center"/>
          </w:tcPr>
          <w:p>
            <w:pPr>
              <w:pStyle w:val="15"/>
            </w:pPr>
            <w:r>
              <w:t>336.00</w:t>
            </w:r>
          </w:p>
        </w:tc>
        <w:tc>
          <w:tcPr>
            <w:tcW w:w="1084" w:type="dxa"/>
            <w:vAlign w:val="center"/>
          </w:tcPr>
          <w:p>
            <w:pPr>
              <w:pStyle w:val="15"/>
            </w:pPr>
          </w:p>
        </w:tc>
        <w:tc>
          <w:tcPr>
            <w:tcW w:w="928" w:type="dxa"/>
            <w:vAlign w:val="center"/>
          </w:tcPr>
          <w:p>
            <w:pPr>
              <w:pStyle w:val="15"/>
            </w:pPr>
            <w:r>
              <w:t>336.00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336.00</w:t>
            </w:r>
          </w:p>
        </w:tc>
      </w:tr>
      <w:tr>
        <w:trPr>
          <w:cantSplit/>
          <w:jc w:val="center"/>
        </w:trPr>
        <w:tc>
          <w:tcPr>
            <w:tcW w:w="1471" w:type="dxa"/>
            <w:vAlign w:val="center"/>
          </w:tcPr>
          <w:p>
            <w:pPr>
              <w:pStyle w:val="16"/>
            </w:pPr>
            <w:r>
              <w:t>土地年度变更调查</w:t>
            </w:r>
          </w:p>
        </w:tc>
        <w:tc>
          <w:tcPr>
            <w:tcW w:w="958" w:type="dxa"/>
            <w:vAlign w:val="center"/>
          </w:tcPr>
          <w:p>
            <w:pPr>
              <w:pStyle w:val="15"/>
            </w:pPr>
            <w:r>
              <w:t>48.00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48.00</w:t>
            </w:r>
          </w:p>
        </w:tc>
        <w:tc>
          <w:tcPr>
            <w:tcW w:w="1035" w:type="dxa"/>
            <w:vAlign w:val="center"/>
          </w:tcPr>
          <w:p>
            <w:pPr>
              <w:pStyle w:val="15"/>
            </w:pPr>
            <w:r>
              <w:t>48.00</w:t>
            </w:r>
          </w:p>
        </w:tc>
        <w:tc>
          <w:tcPr>
            <w:tcW w:w="1084" w:type="dxa"/>
            <w:vAlign w:val="center"/>
          </w:tcPr>
          <w:p>
            <w:pPr>
              <w:pStyle w:val="15"/>
            </w:pPr>
          </w:p>
        </w:tc>
        <w:tc>
          <w:tcPr>
            <w:tcW w:w="928" w:type="dxa"/>
            <w:vAlign w:val="center"/>
          </w:tcPr>
          <w:p>
            <w:pPr>
              <w:pStyle w:val="15"/>
            </w:pPr>
            <w:r>
              <w:t>48.00</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48.00</w:t>
            </w:r>
          </w:p>
        </w:tc>
      </w:tr>
      <w:tr>
        <w:trPr>
          <w:cantSplit/>
          <w:jc w:val="center"/>
        </w:trPr>
        <w:tc>
          <w:tcPr>
            <w:tcW w:w="1471" w:type="dxa"/>
            <w:vAlign w:val="center"/>
          </w:tcPr>
          <w:p>
            <w:pPr>
              <w:pStyle w:val="16"/>
            </w:pPr>
            <w:r>
              <w:t>土地转征征询服务费</w:t>
            </w:r>
          </w:p>
        </w:tc>
        <w:tc>
          <w:tcPr>
            <w:tcW w:w="958" w:type="dxa"/>
            <w:vAlign w:val="center"/>
          </w:tcPr>
          <w:p>
            <w:pPr>
              <w:pStyle w:val="15"/>
            </w:pPr>
            <w:r>
              <w:t>2159.84</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2159.84</w:t>
            </w:r>
          </w:p>
        </w:tc>
        <w:tc>
          <w:tcPr>
            <w:tcW w:w="1035" w:type="dxa"/>
            <w:vAlign w:val="center"/>
          </w:tcPr>
          <w:p>
            <w:pPr>
              <w:pStyle w:val="15"/>
            </w:pPr>
            <w:r>
              <w:t>2159.84</w:t>
            </w:r>
          </w:p>
        </w:tc>
        <w:tc>
          <w:tcPr>
            <w:tcW w:w="1084" w:type="dxa"/>
            <w:vAlign w:val="center"/>
          </w:tcPr>
          <w:p>
            <w:pPr>
              <w:pStyle w:val="15"/>
            </w:pPr>
          </w:p>
        </w:tc>
        <w:tc>
          <w:tcPr>
            <w:tcW w:w="928" w:type="dxa"/>
            <w:vAlign w:val="center"/>
          </w:tcPr>
          <w:p>
            <w:pPr>
              <w:pStyle w:val="15"/>
            </w:pPr>
            <w:r>
              <w:t>2159.84</w:t>
            </w: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2159.84</w:t>
            </w:r>
          </w:p>
        </w:tc>
      </w:tr>
      <w:tr>
        <w:trPr>
          <w:cantSplit/>
          <w:jc w:val="center"/>
        </w:trPr>
        <w:tc>
          <w:tcPr>
            <w:tcW w:w="1471" w:type="dxa"/>
            <w:vAlign w:val="center"/>
          </w:tcPr>
          <w:p>
            <w:pPr>
              <w:pStyle w:val="16"/>
            </w:pPr>
            <w:r>
              <w:t>项目咨询评估经费</w:t>
            </w:r>
          </w:p>
        </w:tc>
        <w:tc>
          <w:tcPr>
            <w:tcW w:w="958" w:type="dxa"/>
            <w:vAlign w:val="center"/>
          </w:tcPr>
          <w:p>
            <w:pPr>
              <w:pStyle w:val="15"/>
            </w:pPr>
            <w:r>
              <w:t>606.00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606.00</w:t>
            </w:r>
          </w:p>
        </w:tc>
        <w:tc>
          <w:tcPr>
            <w:tcW w:w="1035" w:type="dxa"/>
            <w:vAlign w:val="center"/>
          </w:tcPr>
          <w:p>
            <w:pPr>
              <w:pStyle w:val="15"/>
            </w:pPr>
            <w:r>
              <w:t>606.00</w:t>
            </w:r>
          </w:p>
        </w:tc>
        <w:tc>
          <w:tcPr>
            <w:tcW w:w="1084" w:type="dxa"/>
            <w:vAlign w:val="center"/>
          </w:tcPr>
          <w:p>
            <w:pPr>
              <w:pStyle w:val="15"/>
            </w:pPr>
            <w:r>
              <w:t>606.00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181.80</w:t>
            </w:r>
          </w:p>
        </w:tc>
      </w:tr>
      <w:tr>
        <w:trPr>
          <w:cantSplit/>
          <w:jc w:val="center"/>
        </w:trPr>
        <w:tc>
          <w:tcPr>
            <w:tcW w:w="1471" w:type="dxa"/>
            <w:vAlign w:val="center"/>
          </w:tcPr>
          <w:p>
            <w:pPr>
              <w:pStyle w:val="16"/>
            </w:pPr>
            <w:r>
              <w:t>消防设计审查、验收及备案服务项目</w:t>
            </w:r>
          </w:p>
        </w:tc>
        <w:tc>
          <w:tcPr>
            <w:tcW w:w="958" w:type="dxa"/>
            <w:vAlign w:val="center"/>
          </w:tcPr>
          <w:p>
            <w:pPr>
              <w:pStyle w:val="15"/>
            </w:pPr>
            <w:r>
              <w:t>45.00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30.70</w:t>
            </w:r>
          </w:p>
        </w:tc>
        <w:tc>
          <w:tcPr>
            <w:tcW w:w="1035" w:type="dxa"/>
            <w:vAlign w:val="center"/>
          </w:tcPr>
          <w:p>
            <w:pPr>
              <w:pStyle w:val="15"/>
            </w:pPr>
            <w:r>
              <w:t>30.70</w:t>
            </w:r>
          </w:p>
        </w:tc>
        <w:tc>
          <w:tcPr>
            <w:tcW w:w="1084" w:type="dxa"/>
            <w:vAlign w:val="center"/>
          </w:tcPr>
          <w:p>
            <w:pPr>
              <w:pStyle w:val="15"/>
            </w:pPr>
            <w:r>
              <w:t>30.70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30.70</w:t>
            </w:r>
          </w:p>
        </w:tc>
      </w:tr>
      <w:tr>
        <w:trPr>
          <w:cantSplit/>
          <w:jc w:val="center"/>
        </w:trPr>
        <w:tc>
          <w:tcPr>
            <w:tcW w:w="1471" w:type="dxa"/>
            <w:vAlign w:val="center"/>
          </w:tcPr>
          <w:p>
            <w:pPr>
              <w:pStyle w:val="16"/>
            </w:pPr>
            <w:r>
              <w:t>消防业务经费项目</w:t>
            </w:r>
          </w:p>
        </w:tc>
        <w:tc>
          <w:tcPr>
            <w:tcW w:w="958" w:type="dxa"/>
            <w:vAlign w:val="center"/>
          </w:tcPr>
          <w:p>
            <w:pPr>
              <w:pStyle w:val="15"/>
            </w:pPr>
            <w:r>
              <w:t>272.00</w:t>
            </w:r>
          </w:p>
        </w:tc>
        <w:tc>
          <w:tcPr>
            <w:tcW w:w="866" w:type="dxa"/>
            <w:vAlign w:val="center"/>
          </w:tcPr>
          <w:p>
            <w:pPr>
              <w:pStyle w:val="16"/>
            </w:pPr>
            <w:r>
              <w:t>其他服务</w:t>
            </w:r>
          </w:p>
        </w:tc>
        <w:tc>
          <w:tcPr>
            <w:tcW w:w="866" w:type="dxa"/>
            <w:vAlign w:val="center"/>
          </w:tcPr>
          <w:p>
            <w:pPr>
              <w:pStyle w:val="16"/>
            </w:pPr>
            <w:r>
              <w:t>C99000000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65.00</w:t>
            </w:r>
          </w:p>
        </w:tc>
        <w:tc>
          <w:tcPr>
            <w:tcW w:w="1035" w:type="dxa"/>
            <w:vAlign w:val="center"/>
          </w:tcPr>
          <w:p>
            <w:pPr>
              <w:pStyle w:val="15"/>
            </w:pPr>
            <w:r>
              <w:t>65.00</w:t>
            </w:r>
          </w:p>
        </w:tc>
        <w:tc>
          <w:tcPr>
            <w:tcW w:w="1084" w:type="dxa"/>
            <w:vAlign w:val="center"/>
          </w:tcPr>
          <w:p>
            <w:pPr>
              <w:pStyle w:val="15"/>
            </w:pPr>
            <w:r>
              <w:t>65.00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65.00</w:t>
            </w:r>
          </w:p>
        </w:tc>
      </w:tr>
      <w:tr>
        <w:trPr>
          <w:cantSplit/>
          <w:jc w:val="center"/>
        </w:trPr>
        <w:tc>
          <w:tcPr>
            <w:tcW w:w="1471" w:type="dxa"/>
            <w:vAlign w:val="center"/>
          </w:tcPr>
          <w:p>
            <w:pPr>
              <w:pStyle w:val="16"/>
            </w:pPr>
            <w:r>
              <w:t>新办企业印章刻制经费</w:t>
            </w:r>
          </w:p>
        </w:tc>
        <w:tc>
          <w:tcPr>
            <w:tcW w:w="958" w:type="dxa"/>
            <w:vAlign w:val="center"/>
          </w:tcPr>
          <w:p>
            <w:pPr>
              <w:pStyle w:val="15"/>
            </w:pPr>
            <w:r>
              <w:t>59.00</w:t>
            </w:r>
          </w:p>
        </w:tc>
        <w:tc>
          <w:tcPr>
            <w:tcW w:w="866" w:type="dxa"/>
            <w:vAlign w:val="center"/>
          </w:tcPr>
          <w:p>
            <w:pPr>
              <w:pStyle w:val="16"/>
            </w:pPr>
            <w:r>
              <w:t>其他服务</w:t>
            </w:r>
          </w:p>
        </w:tc>
        <w:tc>
          <w:tcPr>
            <w:tcW w:w="866" w:type="dxa"/>
            <w:vAlign w:val="center"/>
          </w:tcPr>
          <w:p>
            <w:pPr>
              <w:pStyle w:val="16"/>
            </w:pPr>
            <w:r>
              <w:t>C99000000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59.00</w:t>
            </w:r>
          </w:p>
        </w:tc>
        <w:tc>
          <w:tcPr>
            <w:tcW w:w="1035" w:type="dxa"/>
            <w:vAlign w:val="center"/>
          </w:tcPr>
          <w:p>
            <w:pPr>
              <w:pStyle w:val="15"/>
            </w:pPr>
            <w:r>
              <w:t>59.00</w:t>
            </w:r>
          </w:p>
        </w:tc>
        <w:tc>
          <w:tcPr>
            <w:tcW w:w="1084" w:type="dxa"/>
            <w:vAlign w:val="center"/>
          </w:tcPr>
          <w:p>
            <w:pPr>
              <w:pStyle w:val="15"/>
            </w:pPr>
            <w:r>
              <w:t>59.00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59.00</w:t>
            </w:r>
          </w:p>
        </w:tc>
      </w:tr>
      <w:tr>
        <w:trPr>
          <w:cantSplit/>
          <w:jc w:val="center"/>
        </w:trPr>
        <w:tc>
          <w:tcPr>
            <w:tcW w:w="1471" w:type="dxa"/>
            <w:vAlign w:val="center"/>
          </w:tcPr>
          <w:p>
            <w:pPr>
              <w:pStyle w:val="16"/>
            </w:pPr>
            <w:r>
              <w:t>新航中学办公经费</w:t>
            </w:r>
          </w:p>
        </w:tc>
        <w:tc>
          <w:tcPr>
            <w:tcW w:w="958" w:type="dxa"/>
            <w:vAlign w:val="center"/>
          </w:tcPr>
          <w:p>
            <w:pPr>
              <w:pStyle w:val="15"/>
            </w:pPr>
            <w:r>
              <w:t>1394.00</w:t>
            </w:r>
          </w:p>
        </w:tc>
        <w:tc>
          <w:tcPr>
            <w:tcW w:w="866" w:type="dxa"/>
            <w:vAlign w:val="center"/>
          </w:tcPr>
          <w:p>
            <w:pPr>
              <w:pStyle w:val="16"/>
            </w:pPr>
            <w:r>
              <w:t>其他办公设备</w:t>
            </w:r>
          </w:p>
        </w:tc>
        <w:tc>
          <w:tcPr>
            <w:tcW w:w="866" w:type="dxa"/>
            <w:vAlign w:val="center"/>
          </w:tcPr>
          <w:p>
            <w:pPr>
              <w:pStyle w:val="16"/>
            </w:pPr>
            <w:r>
              <w:t>A02029900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60.78</w:t>
            </w:r>
          </w:p>
        </w:tc>
        <w:tc>
          <w:tcPr>
            <w:tcW w:w="1035" w:type="dxa"/>
            <w:vAlign w:val="center"/>
          </w:tcPr>
          <w:p>
            <w:pPr>
              <w:pStyle w:val="15"/>
            </w:pPr>
            <w:r>
              <w:t>60.78</w:t>
            </w:r>
          </w:p>
        </w:tc>
        <w:tc>
          <w:tcPr>
            <w:tcW w:w="1084" w:type="dxa"/>
            <w:vAlign w:val="center"/>
          </w:tcPr>
          <w:p>
            <w:pPr>
              <w:pStyle w:val="15"/>
            </w:pPr>
            <w:r>
              <w:t>60.78</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60.78</w:t>
            </w:r>
          </w:p>
        </w:tc>
      </w:tr>
      <w:tr>
        <w:trPr>
          <w:cantSplit/>
          <w:jc w:val="center"/>
        </w:trPr>
        <w:tc>
          <w:tcPr>
            <w:tcW w:w="1471" w:type="dxa"/>
            <w:vAlign w:val="center"/>
          </w:tcPr>
          <w:p>
            <w:pPr>
              <w:pStyle w:val="16"/>
            </w:pPr>
            <w:r>
              <w:t>新航中学办公经费</w:t>
            </w:r>
          </w:p>
        </w:tc>
        <w:tc>
          <w:tcPr>
            <w:tcW w:w="958" w:type="dxa"/>
            <w:vAlign w:val="center"/>
          </w:tcPr>
          <w:p>
            <w:pPr>
              <w:pStyle w:val="15"/>
            </w:pPr>
            <w:r>
              <w:t>1394.00</w:t>
            </w:r>
          </w:p>
        </w:tc>
        <w:tc>
          <w:tcPr>
            <w:tcW w:w="866" w:type="dxa"/>
            <w:vAlign w:val="center"/>
          </w:tcPr>
          <w:p>
            <w:pPr>
              <w:pStyle w:val="16"/>
            </w:pPr>
            <w:r>
              <w:t>其他建筑物、构筑物修缮</w:t>
            </w:r>
          </w:p>
        </w:tc>
        <w:tc>
          <w:tcPr>
            <w:tcW w:w="866" w:type="dxa"/>
            <w:vAlign w:val="center"/>
          </w:tcPr>
          <w:p>
            <w:pPr>
              <w:pStyle w:val="16"/>
            </w:pPr>
            <w:r>
              <w:t>B08990000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36.00</w:t>
            </w:r>
          </w:p>
        </w:tc>
        <w:tc>
          <w:tcPr>
            <w:tcW w:w="1035" w:type="dxa"/>
            <w:vAlign w:val="center"/>
          </w:tcPr>
          <w:p>
            <w:pPr>
              <w:pStyle w:val="15"/>
            </w:pPr>
            <w:r>
              <w:t>36.00</w:t>
            </w:r>
          </w:p>
        </w:tc>
        <w:tc>
          <w:tcPr>
            <w:tcW w:w="1084" w:type="dxa"/>
            <w:vAlign w:val="center"/>
          </w:tcPr>
          <w:p>
            <w:pPr>
              <w:pStyle w:val="15"/>
            </w:pPr>
            <w:r>
              <w:t>36.00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36.00</w:t>
            </w:r>
          </w:p>
        </w:tc>
      </w:tr>
      <w:tr>
        <w:trPr>
          <w:cantSplit/>
          <w:jc w:val="center"/>
        </w:trPr>
        <w:tc>
          <w:tcPr>
            <w:tcW w:w="1471" w:type="dxa"/>
            <w:vAlign w:val="center"/>
          </w:tcPr>
          <w:p>
            <w:pPr>
              <w:pStyle w:val="16"/>
            </w:pPr>
            <w:r>
              <w:t>新航中学办公经费</w:t>
            </w:r>
          </w:p>
        </w:tc>
        <w:tc>
          <w:tcPr>
            <w:tcW w:w="958" w:type="dxa"/>
            <w:vAlign w:val="center"/>
          </w:tcPr>
          <w:p>
            <w:pPr>
              <w:pStyle w:val="15"/>
            </w:pPr>
            <w:r>
              <w:t>1394.00</w:t>
            </w:r>
          </w:p>
        </w:tc>
        <w:tc>
          <w:tcPr>
            <w:tcW w:w="866" w:type="dxa"/>
            <w:vAlign w:val="center"/>
          </w:tcPr>
          <w:p>
            <w:pPr>
              <w:pStyle w:val="16"/>
            </w:pPr>
            <w:r>
              <w:t>车辆及其他运输机械租赁服务</w:t>
            </w:r>
          </w:p>
        </w:tc>
        <w:tc>
          <w:tcPr>
            <w:tcW w:w="866" w:type="dxa"/>
            <w:vAlign w:val="center"/>
          </w:tcPr>
          <w:p>
            <w:pPr>
              <w:pStyle w:val="16"/>
            </w:pPr>
            <w:r>
              <w:t>C23110300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288.00</w:t>
            </w:r>
          </w:p>
        </w:tc>
        <w:tc>
          <w:tcPr>
            <w:tcW w:w="1035" w:type="dxa"/>
            <w:vAlign w:val="center"/>
          </w:tcPr>
          <w:p>
            <w:pPr>
              <w:pStyle w:val="15"/>
            </w:pPr>
            <w:r>
              <w:t>288.00</w:t>
            </w:r>
          </w:p>
        </w:tc>
        <w:tc>
          <w:tcPr>
            <w:tcW w:w="1084" w:type="dxa"/>
            <w:vAlign w:val="center"/>
          </w:tcPr>
          <w:p>
            <w:pPr>
              <w:pStyle w:val="15"/>
            </w:pPr>
            <w:r>
              <w:t>288.00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288.00</w:t>
            </w:r>
          </w:p>
        </w:tc>
      </w:tr>
      <w:tr>
        <w:trPr>
          <w:cantSplit/>
          <w:trHeight w:val="768" w:hRule="atLeast"/>
          <w:jc w:val="center"/>
        </w:trPr>
        <w:tc>
          <w:tcPr>
            <w:tcW w:w="1471" w:type="dxa"/>
            <w:vAlign w:val="center"/>
          </w:tcPr>
          <w:p>
            <w:pPr>
              <w:pStyle w:val="16"/>
            </w:pPr>
            <w:r>
              <w:t>新航中学办公经费</w:t>
            </w:r>
          </w:p>
        </w:tc>
        <w:tc>
          <w:tcPr>
            <w:tcW w:w="958" w:type="dxa"/>
            <w:vAlign w:val="center"/>
          </w:tcPr>
          <w:p>
            <w:pPr>
              <w:pStyle w:val="15"/>
            </w:pPr>
            <w:r>
              <w:t>1394.00</w:t>
            </w:r>
          </w:p>
        </w:tc>
        <w:tc>
          <w:tcPr>
            <w:tcW w:w="866" w:type="dxa"/>
            <w:vAlign w:val="center"/>
          </w:tcPr>
          <w:p>
            <w:pPr>
              <w:pStyle w:val="16"/>
            </w:pPr>
            <w:r>
              <w:t>其他服务</w:t>
            </w:r>
          </w:p>
        </w:tc>
        <w:tc>
          <w:tcPr>
            <w:tcW w:w="866" w:type="dxa"/>
            <w:vAlign w:val="center"/>
          </w:tcPr>
          <w:p>
            <w:pPr>
              <w:pStyle w:val="16"/>
            </w:pPr>
            <w:r>
              <w:t>C99000000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58.80</w:t>
            </w:r>
          </w:p>
        </w:tc>
        <w:tc>
          <w:tcPr>
            <w:tcW w:w="1035" w:type="dxa"/>
            <w:vAlign w:val="center"/>
          </w:tcPr>
          <w:p>
            <w:pPr>
              <w:pStyle w:val="15"/>
            </w:pPr>
            <w:r>
              <w:t>58.80</w:t>
            </w:r>
          </w:p>
        </w:tc>
        <w:tc>
          <w:tcPr>
            <w:tcW w:w="1084" w:type="dxa"/>
            <w:vAlign w:val="center"/>
          </w:tcPr>
          <w:p>
            <w:pPr>
              <w:pStyle w:val="15"/>
            </w:pPr>
            <w:r>
              <w:t>58.80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58.80</w:t>
            </w:r>
          </w:p>
        </w:tc>
      </w:tr>
      <w:tr>
        <w:trPr>
          <w:cantSplit/>
          <w:jc w:val="center"/>
        </w:trPr>
        <w:tc>
          <w:tcPr>
            <w:tcW w:w="1471" w:type="dxa"/>
            <w:vAlign w:val="center"/>
          </w:tcPr>
          <w:p>
            <w:pPr>
              <w:pStyle w:val="16"/>
            </w:pPr>
            <w:r>
              <w:t>营商环境创新提升服务</w:t>
            </w:r>
          </w:p>
        </w:tc>
        <w:tc>
          <w:tcPr>
            <w:tcW w:w="958" w:type="dxa"/>
            <w:vAlign w:val="center"/>
          </w:tcPr>
          <w:p>
            <w:pPr>
              <w:pStyle w:val="15"/>
            </w:pPr>
            <w:r>
              <w:t>200.00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200.00</w:t>
            </w:r>
          </w:p>
        </w:tc>
        <w:tc>
          <w:tcPr>
            <w:tcW w:w="1035" w:type="dxa"/>
            <w:vAlign w:val="center"/>
          </w:tcPr>
          <w:p>
            <w:pPr>
              <w:pStyle w:val="15"/>
            </w:pPr>
            <w:r>
              <w:t>200.00</w:t>
            </w:r>
          </w:p>
        </w:tc>
        <w:tc>
          <w:tcPr>
            <w:tcW w:w="1084" w:type="dxa"/>
            <w:vAlign w:val="center"/>
          </w:tcPr>
          <w:p>
            <w:pPr>
              <w:pStyle w:val="15"/>
            </w:pPr>
            <w:r>
              <w:t>200.00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200.00</w:t>
            </w:r>
          </w:p>
        </w:tc>
      </w:tr>
      <w:tr>
        <w:trPr>
          <w:cantSplit/>
          <w:jc w:val="center"/>
        </w:trPr>
        <w:tc>
          <w:tcPr>
            <w:tcW w:w="1471" w:type="dxa"/>
            <w:vAlign w:val="center"/>
          </w:tcPr>
          <w:p>
            <w:pPr>
              <w:pStyle w:val="16"/>
            </w:pPr>
            <w:r>
              <w:t>智慧城市建设资金</w:t>
            </w:r>
          </w:p>
        </w:tc>
        <w:tc>
          <w:tcPr>
            <w:tcW w:w="958" w:type="dxa"/>
            <w:vAlign w:val="center"/>
          </w:tcPr>
          <w:p>
            <w:pPr>
              <w:pStyle w:val="15"/>
            </w:pPr>
            <w:r>
              <w:t>1900.00</w:t>
            </w:r>
          </w:p>
        </w:tc>
        <w:tc>
          <w:tcPr>
            <w:tcW w:w="866" w:type="dxa"/>
            <w:vAlign w:val="center"/>
          </w:tcPr>
          <w:p>
            <w:pPr>
              <w:pStyle w:val="16"/>
            </w:pPr>
            <w:r>
              <w:t>其他信息化设备</w:t>
            </w:r>
          </w:p>
        </w:tc>
        <w:tc>
          <w:tcPr>
            <w:tcW w:w="866" w:type="dxa"/>
            <w:vAlign w:val="center"/>
          </w:tcPr>
          <w:p>
            <w:pPr>
              <w:pStyle w:val="16"/>
            </w:pPr>
            <w:r>
              <w:t>A02019900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800.00</w:t>
            </w:r>
          </w:p>
        </w:tc>
        <w:tc>
          <w:tcPr>
            <w:tcW w:w="1035" w:type="dxa"/>
            <w:vAlign w:val="center"/>
          </w:tcPr>
          <w:p>
            <w:pPr>
              <w:pStyle w:val="15"/>
            </w:pPr>
            <w:r>
              <w:t>800.00</w:t>
            </w:r>
          </w:p>
        </w:tc>
        <w:tc>
          <w:tcPr>
            <w:tcW w:w="1084" w:type="dxa"/>
            <w:vAlign w:val="center"/>
          </w:tcPr>
          <w:p>
            <w:pPr>
              <w:pStyle w:val="15"/>
            </w:pPr>
            <w:r>
              <w:t>800.00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800.00</w:t>
            </w:r>
          </w:p>
        </w:tc>
      </w:tr>
      <w:tr>
        <w:trPr>
          <w:cantSplit/>
          <w:jc w:val="center"/>
        </w:trPr>
        <w:tc>
          <w:tcPr>
            <w:tcW w:w="1471" w:type="dxa"/>
            <w:vAlign w:val="center"/>
          </w:tcPr>
          <w:p>
            <w:pPr>
              <w:pStyle w:val="16"/>
            </w:pPr>
            <w:r>
              <w:t>智慧城市建设资金</w:t>
            </w:r>
          </w:p>
        </w:tc>
        <w:tc>
          <w:tcPr>
            <w:tcW w:w="958" w:type="dxa"/>
            <w:vAlign w:val="center"/>
          </w:tcPr>
          <w:p>
            <w:pPr>
              <w:pStyle w:val="15"/>
            </w:pPr>
            <w:r>
              <w:t>1900.00</w:t>
            </w:r>
          </w:p>
        </w:tc>
        <w:tc>
          <w:tcPr>
            <w:tcW w:w="866" w:type="dxa"/>
            <w:vAlign w:val="center"/>
          </w:tcPr>
          <w:p>
            <w:pPr>
              <w:pStyle w:val="16"/>
            </w:pPr>
            <w:r>
              <w:t>其他专业技术服务</w:t>
            </w:r>
          </w:p>
        </w:tc>
        <w:tc>
          <w:tcPr>
            <w:tcW w:w="866" w:type="dxa"/>
            <w:vAlign w:val="center"/>
          </w:tcPr>
          <w:p>
            <w:pPr>
              <w:pStyle w:val="16"/>
            </w:pPr>
            <w:r>
              <w:t>C19990000</w:t>
            </w:r>
          </w:p>
        </w:tc>
        <w:tc>
          <w:tcPr>
            <w:tcW w:w="820" w:type="dxa"/>
            <w:vAlign w:val="center"/>
          </w:tcPr>
          <w:p>
            <w:pPr>
              <w:pStyle w:val="17"/>
            </w:pPr>
            <w:r>
              <w:t>项</w:t>
            </w:r>
          </w:p>
        </w:tc>
        <w:tc>
          <w:tcPr>
            <w:tcW w:w="563" w:type="dxa"/>
            <w:vAlign w:val="center"/>
          </w:tcPr>
          <w:p>
            <w:pPr>
              <w:pStyle w:val="15"/>
            </w:pPr>
            <w:r>
              <w:t>1</w:t>
            </w:r>
          </w:p>
        </w:tc>
        <w:tc>
          <w:tcPr>
            <w:tcW w:w="813" w:type="dxa"/>
            <w:vAlign w:val="center"/>
          </w:tcPr>
          <w:p>
            <w:pPr>
              <w:pStyle w:val="15"/>
            </w:pPr>
            <w:r>
              <w:t>86.40</w:t>
            </w:r>
          </w:p>
        </w:tc>
        <w:tc>
          <w:tcPr>
            <w:tcW w:w="1035" w:type="dxa"/>
            <w:vAlign w:val="center"/>
          </w:tcPr>
          <w:p>
            <w:pPr>
              <w:pStyle w:val="15"/>
            </w:pPr>
            <w:r>
              <w:t>86.40</w:t>
            </w:r>
          </w:p>
        </w:tc>
        <w:tc>
          <w:tcPr>
            <w:tcW w:w="1084" w:type="dxa"/>
            <w:vAlign w:val="center"/>
          </w:tcPr>
          <w:p>
            <w:pPr>
              <w:pStyle w:val="15"/>
            </w:pPr>
            <w:r>
              <w:t>86.40</w:t>
            </w:r>
          </w:p>
        </w:tc>
        <w:tc>
          <w:tcPr>
            <w:tcW w:w="928" w:type="dxa"/>
            <w:vAlign w:val="center"/>
          </w:tcPr>
          <w:p>
            <w:pPr>
              <w:pStyle w:val="15"/>
            </w:pPr>
          </w:p>
        </w:tc>
        <w:tc>
          <w:tcPr>
            <w:tcW w:w="1067" w:type="dxa"/>
            <w:vAlign w:val="center"/>
          </w:tcPr>
          <w:p>
            <w:pPr>
              <w:pStyle w:val="15"/>
            </w:pPr>
          </w:p>
        </w:tc>
        <w:tc>
          <w:tcPr>
            <w:tcW w:w="881" w:type="dxa"/>
            <w:vAlign w:val="center"/>
          </w:tcPr>
          <w:p>
            <w:pPr>
              <w:pStyle w:val="15"/>
            </w:pPr>
          </w:p>
        </w:tc>
        <w:tc>
          <w:tcPr>
            <w:tcW w:w="660" w:type="dxa"/>
            <w:vAlign w:val="center"/>
          </w:tcPr>
          <w:p>
            <w:pPr>
              <w:pStyle w:val="15"/>
            </w:pPr>
          </w:p>
        </w:tc>
        <w:tc>
          <w:tcPr>
            <w:tcW w:w="924" w:type="dxa"/>
            <w:vAlign w:val="center"/>
          </w:tcPr>
          <w:p>
            <w:pPr>
              <w:pStyle w:val="15"/>
            </w:pPr>
          </w:p>
        </w:tc>
        <w:tc>
          <w:tcPr>
            <w:tcW w:w="924" w:type="dxa"/>
            <w:vAlign w:val="center"/>
          </w:tcPr>
          <w:p>
            <w:pPr>
              <w:pStyle w:val="15"/>
            </w:pPr>
          </w:p>
        </w:tc>
        <w:tc>
          <w:tcPr>
            <w:tcW w:w="1016" w:type="dxa"/>
            <w:vAlign w:val="center"/>
          </w:tcPr>
          <w:p>
            <w:pPr>
              <w:pStyle w:val="15"/>
            </w:pPr>
            <w:r>
              <w:t>86.40</w:t>
            </w:r>
          </w:p>
        </w:tc>
      </w:tr>
    </w:tbl>
    <w:p>
      <w:pPr>
        <w:spacing w:line="560" w:lineRule="exact"/>
        <w:ind w:firstLine="420" w:firstLineChars="20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60" w:lineRule="exact"/>
        <w:ind w:firstLine="480" w:firstLineChars="200"/>
        <w:rPr>
          <w:rFonts w:eastAsia="宋体"/>
          <w:lang w:eastAsia="zh-CN"/>
        </w:rPr>
      </w:pPr>
    </w:p>
    <w:p>
      <w:pPr>
        <w:spacing w:line="560" w:lineRule="exact"/>
        <w:ind w:firstLine="640" w:firstLineChars="200"/>
        <w:outlineLvl w:val="2"/>
      </w:pPr>
      <w:bookmarkStart w:id="6" w:name="_Toc26484"/>
      <w:r>
        <w:rPr>
          <w:rFonts w:ascii="黑体" w:hAnsi="黑体" w:eastAsia="黑体" w:cs="黑体"/>
          <w:color w:val="000000"/>
          <w:sz w:val="32"/>
        </w:rPr>
        <w:t>七、国有资产信息</w:t>
      </w:r>
      <w:bookmarkEnd w:id="6"/>
    </w:p>
    <w:p>
      <w:pPr>
        <w:spacing w:line="560" w:lineRule="exact"/>
        <w:ind w:firstLine="560" w:firstLineChars="200"/>
        <w:rPr>
          <w:rFonts w:eastAsia="方正仿宋_GBK" w:cs="Times New Roman"/>
          <w:color w:val="000000"/>
          <w:sz w:val="28"/>
          <w:lang w:eastAsia="zh-CN"/>
        </w:rPr>
      </w:pPr>
      <w:r>
        <w:rPr>
          <w:rFonts w:eastAsia="方正仿宋_GBK" w:cs="Times New Roman"/>
          <w:color w:val="000000"/>
          <w:sz w:val="28"/>
        </w:rPr>
        <w:t>北京大兴国际机场临空经济区（廊坊）管理委员会（本级）上年末固定资产金额</w:t>
      </w:r>
      <w:r>
        <w:rPr>
          <w:rFonts w:ascii="Times New Roman" w:hAnsi="Times New Roman" w:eastAsia="方正仿宋_GBK" w:cs="Times New Roman"/>
          <w:color w:val="000000"/>
          <w:sz w:val="28"/>
        </w:rPr>
        <w:t>为</w:t>
      </w:r>
      <w:r>
        <w:rPr>
          <w:rFonts w:hint="eastAsia" w:ascii="Times New Roman" w:hAnsi="Times New Roman" w:eastAsia="方正仿宋_GBK" w:cs="Times New Roman"/>
          <w:color w:val="000000"/>
          <w:sz w:val="28"/>
          <w:lang w:val="en-US" w:eastAsia="zh-CN"/>
        </w:rPr>
        <w:t>449.89</w:t>
      </w:r>
      <w:r>
        <w:rPr>
          <w:rFonts w:ascii="Times New Roman" w:hAnsi="Times New Roman" w:eastAsia="方正仿宋_GBK" w:cs="Times New Roman"/>
          <w:color w:val="000000"/>
          <w:sz w:val="28"/>
        </w:rPr>
        <w:t>万元</w:t>
      </w:r>
      <w:r>
        <w:rPr>
          <w:rFonts w:eastAsia="方正仿宋_GBK" w:cs="Times New Roman"/>
          <w:color w:val="000000"/>
          <w:sz w:val="28"/>
        </w:rPr>
        <w:t>（详见下表）。本年度拟购置固定资产总额为</w:t>
      </w:r>
      <w:r>
        <w:rPr>
          <w:rFonts w:hint="eastAsia" w:eastAsia="方正仿宋_GBK" w:cs="Times New Roman"/>
          <w:color w:val="000000"/>
          <w:sz w:val="28"/>
          <w:lang w:eastAsia="zh-CN"/>
        </w:rPr>
        <w:t>5908.20</w:t>
      </w:r>
      <w:r>
        <w:rPr>
          <w:rFonts w:eastAsia="方正仿宋_GBK" w:cs="Times New Roman"/>
          <w:color w:val="000000"/>
          <w:sz w:val="28"/>
        </w:rPr>
        <w:t>万元，</w:t>
      </w:r>
      <w:r>
        <w:rPr>
          <w:rFonts w:hint="eastAsia" w:eastAsia="方正仿宋_GBK" w:cs="Times New Roman"/>
          <w:color w:val="000000"/>
          <w:sz w:val="28"/>
          <w:lang w:eastAsia="zh-CN"/>
        </w:rPr>
        <w:t>主要为新建学校办公及教学设备用具。</w:t>
      </w:r>
      <w:r>
        <w:rPr>
          <w:rFonts w:eastAsia="方正仿宋_GBK" w:cs="Times New Roman"/>
          <w:color w:val="000000"/>
          <w:sz w:val="28"/>
        </w:rPr>
        <w:t>已按要求列入政府采购预算，详见政府采购预算表。</w:t>
      </w:r>
    </w:p>
    <w:p>
      <w:pPr>
        <w:spacing w:line="500" w:lineRule="exact"/>
        <w:ind w:firstLine="560"/>
        <w:rPr>
          <w:lang w:eastAsia="zh-CN"/>
        </w:rPr>
        <w:sectPr>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101001北京大兴国际机场临空经济区（廊坊）管理委员会（本级）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rPr>
          <w:trHeight w:val="476" w:hRule="atLeast"/>
          <w:tblHeader/>
          <w:jc w:val="center"/>
        </w:trPr>
        <w:tc>
          <w:tcPr>
            <w:tcW w:w="7370" w:type="dxa"/>
            <w:vAlign w:val="center"/>
          </w:tcPr>
          <w:p>
            <w:pPr>
              <w:pStyle w:val="14"/>
            </w:pPr>
            <w:r>
              <w:t>项目</w:t>
            </w:r>
          </w:p>
        </w:tc>
        <w:tc>
          <w:tcPr>
            <w:tcW w:w="2835" w:type="dxa"/>
            <w:vAlign w:val="center"/>
          </w:tcPr>
          <w:p>
            <w:pPr>
              <w:pStyle w:val="14"/>
            </w:pPr>
            <w:r>
              <w:t>数量</w:t>
            </w:r>
          </w:p>
        </w:tc>
        <w:tc>
          <w:tcPr>
            <w:tcW w:w="2835" w:type="dxa"/>
            <w:vAlign w:val="center"/>
          </w:tcPr>
          <w:p>
            <w:pPr>
              <w:pStyle w:val="14"/>
            </w:pPr>
            <w:r>
              <w:t>价值（金额单位：万元）</w:t>
            </w:r>
          </w:p>
        </w:tc>
      </w:tr>
      <w:tr>
        <w:trPr>
          <w:jc w:val="center"/>
        </w:trPr>
        <w:tc>
          <w:tcPr>
            <w:tcW w:w="7370" w:type="dxa"/>
            <w:vAlign w:val="center"/>
          </w:tcPr>
          <w:p>
            <w:pPr>
              <w:spacing w:line="584" w:lineRule="exact"/>
              <w:jc w:val="center"/>
              <w:rPr>
                <w:rFonts w:eastAsia="仿宋_GB2312" w:cs="Times New Roman"/>
                <w:sz w:val="22"/>
              </w:rPr>
            </w:pPr>
            <w:r>
              <w:rPr>
                <w:rFonts w:eastAsia="仿宋_GB2312" w:cs="Times New Roman"/>
                <w:sz w:val="22"/>
              </w:rPr>
              <w:t>资产总额</w:t>
            </w:r>
          </w:p>
        </w:tc>
        <w:tc>
          <w:tcPr>
            <w:tcW w:w="2835" w:type="dxa"/>
            <w:vAlign w:val="center"/>
          </w:tcPr>
          <w:p>
            <w:pPr>
              <w:spacing w:line="584" w:lineRule="exact"/>
              <w:jc w:val="center"/>
              <w:rPr>
                <w:rFonts w:eastAsia="仿宋_GB2312" w:cs="Times New Roman"/>
                <w:sz w:val="22"/>
              </w:rPr>
            </w:pPr>
            <w:r>
              <w:rPr>
                <w:rFonts w:eastAsia="仿宋_GB2312" w:cs="Times New Roman"/>
                <w:sz w:val="22"/>
              </w:rPr>
              <w:t>——</w:t>
            </w:r>
          </w:p>
        </w:tc>
        <w:tc>
          <w:tcPr>
            <w:tcW w:w="2835" w:type="dxa"/>
            <w:vAlign w:val="center"/>
          </w:tcPr>
          <w:p>
            <w:pPr>
              <w:spacing w:line="584" w:lineRule="exact"/>
              <w:jc w:val="center"/>
              <w:rPr>
                <w:rFonts w:eastAsia="仿宋_GB2312" w:cs="Times New Roman"/>
                <w:sz w:val="22"/>
              </w:rPr>
            </w:pPr>
            <w:r>
              <w:rPr>
                <w:rFonts w:hint="eastAsia" w:eastAsia="仿宋_GB2312" w:cs="Times New Roman"/>
                <w:sz w:val="22"/>
                <w:lang w:eastAsia="zh-CN"/>
              </w:rPr>
              <w:t>449.89</w:t>
            </w:r>
          </w:p>
        </w:tc>
      </w:tr>
      <w:tr>
        <w:trPr>
          <w:jc w:val="center"/>
        </w:trPr>
        <w:tc>
          <w:tcPr>
            <w:tcW w:w="7370" w:type="dxa"/>
            <w:vAlign w:val="center"/>
          </w:tcPr>
          <w:p>
            <w:pPr>
              <w:spacing w:line="584" w:lineRule="exact"/>
              <w:jc w:val="center"/>
              <w:rPr>
                <w:rFonts w:eastAsia="仿宋_GB2312" w:cs="Times New Roman"/>
                <w:sz w:val="22"/>
              </w:rPr>
            </w:pPr>
            <w:r>
              <w:rPr>
                <w:rFonts w:eastAsia="仿宋_GB2312" w:cs="Times New Roman"/>
                <w:sz w:val="22"/>
              </w:rPr>
              <w:t>1、房屋（平方米）</w:t>
            </w:r>
          </w:p>
        </w:tc>
        <w:tc>
          <w:tcPr>
            <w:tcW w:w="2835" w:type="dxa"/>
            <w:vAlign w:val="center"/>
          </w:tcPr>
          <w:p>
            <w:pPr>
              <w:spacing w:line="584" w:lineRule="exact"/>
              <w:jc w:val="center"/>
              <w:rPr>
                <w:rFonts w:eastAsia="仿宋_GB2312" w:cs="Times New Roman"/>
                <w:sz w:val="22"/>
              </w:rPr>
            </w:pPr>
          </w:p>
        </w:tc>
        <w:tc>
          <w:tcPr>
            <w:tcW w:w="2835" w:type="dxa"/>
            <w:vAlign w:val="center"/>
          </w:tcPr>
          <w:p>
            <w:pPr>
              <w:spacing w:line="584" w:lineRule="exact"/>
              <w:jc w:val="center"/>
              <w:rPr>
                <w:rFonts w:eastAsia="仿宋_GB2312" w:cs="Times New Roman"/>
                <w:sz w:val="22"/>
              </w:rPr>
            </w:pPr>
          </w:p>
        </w:tc>
      </w:tr>
      <w:tr>
        <w:trPr>
          <w:jc w:val="center"/>
        </w:trPr>
        <w:tc>
          <w:tcPr>
            <w:tcW w:w="7370" w:type="dxa"/>
            <w:vAlign w:val="center"/>
          </w:tcPr>
          <w:p>
            <w:pPr>
              <w:spacing w:line="584" w:lineRule="exact"/>
              <w:jc w:val="center"/>
              <w:rPr>
                <w:rFonts w:eastAsia="仿宋_GB2312" w:cs="Times New Roman"/>
                <w:sz w:val="22"/>
              </w:rPr>
            </w:pPr>
            <w:r>
              <w:rPr>
                <w:rFonts w:eastAsia="仿宋_GB2312" w:cs="Times New Roman"/>
                <w:sz w:val="22"/>
              </w:rPr>
              <w:t>其中：办公用房（平方米）</w:t>
            </w:r>
          </w:p>
        </w:tc>
        <w:tc>
          <w:tcPr>
            <w:tcW w:w="2835" w:type="dxa"/>
            <w:vAlign w:val="center"/>
          </w:tcPr>
          <w:p>
            <w:pPr>
              <w:spacing w:line="584" w:lineRule="exact"/>
              <w:jc w:val="center"/>
              <w:rPr>
                <w:rFonts w:eastAsia="仿宋_GB2312" w:cs="Times New Roman"/>
                <w:sz w:val="22"/>
              </w:rPr>
            </w:pPr>
          </w:p>
        </w:tc>
        <w:tc>
          <w:tcPr>
            <w:tcW w:w="2835" w:type="dxa"/>
            <w:vAlign w:val="center"/>
          </w:tcPr>
          <w:p>
            <w:pPr>
              <w:spacing w:line="584" w:lineRule="exact"/>
              <w:jc w:val="center"/>
              <w:rPr>
                <w:rFonts w:eastAsia="仿宋_GB2312" w:cs="Times New Roman"/>
                <w:sz w:val="22"/>
              </w:rPr>
            </w:pPr>
          </w:p>
        </w:tc>
      </w:tr>
      <w:tr>
        <w:trPr>
          <w:jc w:val="center"/>
        </w:trPr>
        <w:tc>
          <w:tcPr>
            <w:tcW w:w="7370" w:type="dxa"/>
            <w:vAlign w:val="center"/>
          </w:tcPr>
          <w:p>
            <w:pPr>
              <w:spacing w:line="584" w:lineRule="exact"/>
              <w:jc w:val="center"/>
              <w:rPr>
                <w:rFonts w:eastAsia="仿宋_GB2312" w:cs="Times New Roman"/>
                <w:sz w:val="22"/>
              </w:rPr>
            </w:pPr>
            <w:r>
              <w:rPr>
                <w:rFonts w:eastAsia="仿宋_GB2312" w:cs="Times New Roman"/>
                <w:sz w:val="22"/>
              </w:rPr>
              <w:t>2、车辆（台、辆）</w:t>
            </w:r>
          </w:p>
        </w:tc>
        <w:tc>
          <w:tcPr>
            <w:tcW w:w="2835" w:type="dxa"/>
            <w:vAlign w:val="center"/>
          </w:tcPr>
          <w:p>
            <w:pPr>
              <w:spacing w:line="584" w:lineRule="exact"/>
              <w:jc w:val="center"/>
              <w:rPr>
                <w:rFonts w:eastAsia="仿宋_GB2312" w:cs="Times New Roman"/>
                <w:sz w:val="22"/>
              </w:rPr>
            </w:pPr>
            <w:r>
              <w:rPr>
                <w:rFonts w:hint="eastAsia" w:eastAsia="仿宋_GB2312" w:cs="Times New Roman"/>
                <w:sz w:val="22"/>
                <w:lang w:eastAsia="zh-CN"/>
              </w:rPr>
              <w:t>3</w:t>
            </w:r>
          </w:p>
        </w:tc>
        <w:tc>
          <w:tcPr>
            <w:tcW w:w="2835" w:type="dxa"/>
            <w:vAlign w:val="center"/>
          </w:tcPr>
          <w:p>
            <w:pPr>
              <w:spacing w:line="584" w:lineRule="exact"/>
              <w:jc w:val="center"/>
              <w:rPr>
                <w:rFonts w:eastAsia="仿宋_GB2312" w:cs="Times New Roman"/>
                <w:sz w:val="22"/>
              </w:rPr>
            </w:pPr>
            <w:r>
              <w:rPr>
                <w:rFonts w:hint="eastAsia" w:eastAsia="仿宋_GB2312" w:cs="Times New Roman"/>
                <w:sz w:val="22"/>
                <w:lang w:eastAsia="zh-CN"/>
              </w:rPr>
              <w:t>64.57</w:t>
            </w:r>
          </w:p>
        </w:tc>
      </w:tr>
      <w:tr>
        <w:trPr>
          <w:jc w:val="center"/>
        </w:trPr>
        <w:tc>
          <w:tcPr>
            <w:tcW w:w="7370" w:type="dxa"/>
            <w:vAlign w:val="center"/>
          </w:tcPr>
          <w:p>
            <w:pPr>
              <w:spacing w:line="584" w:lineRule="exact"/>
              <w:jc w:val="center"/>
              <w:rPr>
                <w:rFonts w:eastAsia="仿宋_GB2312" w:cs="Times New Roman"/>
                <w:sz w:val="22"/>
              </w:rPr>
            </w:pPr>
            <w:r>
              <w:rPr>
                <w:rFonts w:eastAsia="仿宋_GB2312" w:cs="Times New Roman"/>
                <w:sz w:val="22"/>
              </w:rPr>
              <w:t>3、单价在20万元以上的设备</w:t>
            </w:r>
          </w:p>
        </w:tc>
        <w:tc>
          <w:tcPr>
            <w:tcW w:w="2835" w:type="dxa"/>
            <w:vAlign w:val="center"/>
          </w:tcPr>
          <w:p>
            <w:pPr>
              <w:spacing w:line="584" w:lineRule="exact"/>
              <w:jc w:val="center"/>
              <w:rPr>
                <w:rFonts w:eastAsia="仿宋_GB2312" w:cs="Times New Roman"/>
                <w:sz w:val="22"/>
              </w:rPr>
            </w:pPr>
          </w:p>
        </w:tc>
        <w:tc>
          <w:tcPr>
            <w:tcW w:w="2835" w:type="dxa"/>
            <w:vAlign w:val="center"/>
          </w:tcPr>
          <w:p>
            <w:pPr>
              <w:spacing w:line="584" w:lineRule="exact"/>
              <w:jc w:val="center"/>
              <w:rPr>
                <w:rFonts w:eastAsia="仿宋_GB2312" w:cs="Times New Roman"/>
                <w:sz w:val="22"/>
              </w:rPr>
            </w:pPr>
          </w:p>
        </w:tc>
      </w:tr>
      <w:tr>
        <w:trPr>
          <w:jc w:val="center"/>
        </w:trPr>
        <w:tc>
          <w:tcPr>
            <w:tcW w:w="7370" w:type="dxa"/>
            <w:vAlign w:val="center"/>
          </w:tcPr>
          <w:p>
            <w:pPr>
              <w:spacing w:line="584" w:lineRule="exact"/>
              <w:jc w:val="center"/>
              <w:rPr>
                <w:rFonts w:eastAsia="仿宋_GB2312" w:cs="Times New Roman"/>
                <w:sz w:val="22"/>
              </w:rPr>
            </w:pPr>
            <w:r>
              <w:rPr>
                <w:rFonts w:eastAsia="仿宋_GB2312" w:cs="Times New Roman"/>
                <w:sz w:val="22"/>
              </w:rPr>
              <w:t>4、其他固定资产</w:t>
            </w:r>
          </w:p>
        </w:tc>
        <w:tc>
          <w:tcPr>
            <w:tcW w:w="2835" w:type="dxa"/>
            <w:vAlign w:val="center"/>
          </w:tcPr>
          <w:p>
            <w:pPr>
              <w:spacing w:line="584" w:lineRule="exact"/>
              <w:jc w:val="center"/>
              <w:rPr>
                <w:rFonts w:eastAsia="仿宋_GB2312" w:cs="Times New Roman"/>
                <w:sz w:val="22"/>
              </w:rPr>
            </w:pPr>
          </w:p>
        </w:tc>
        <w:tc>
          <w:tcPr>
            <w:tcW w:w="2835" w:type="dxa"/>
            <w:vAlign w:val="center"/>
          </w:tcPr>
          <w:p>
            <w:pPr>
              <w:spacing w:line="584" w:lineRule="exact"/>
              <w:jc w:val="center"/>
              <w:rPr>
                <w:rFonts w:eastAsia="仿宋_GB2312" w:cs="Times New Roman"/>
                <w:sz w:val="22"/>
              </w:rPr>
            </w:pPr>
            <w:r>
              <w:rPr>
                <w:rFonts w:hint="eastAsia" w:eastAsia="仿宋_GB2312" w:cs="Times New Roman"/>
                <w:sz w:val="22"/>
                <w:lang w:eastAsia="zh-CN"/>
              </w:rPr>
              <w:t>385.32</w:t>
            </w:r>
          </w:p>
        </w:tc>
      </w:tr>
    </w:tbl>
    <w:p>
      <w:pPr>
        <w:ind w:firstLine="640"/>
        <w:rPr>
          <w:rFonts w:eastAsia="宋体"/>
          <w:lang w:eastAsia="zh-CN"/>
        </w:rPr>
      </w:pPr>
    </w:p>
    <w:p>
      <w:pPr>
        <w:spacing w:line="560" w:lineRule="exact"/>
        <w:ind w:firstLine="640" w:firstLineChars="200"/>
        <w:outlineLvl w:val="2"/>
      </w:pPr>
      <w:bookmarkStart w:id="7" w:name="_Toc1952"/>
      <w:r>
        <w:rPr>
          <w:rFonts w:ascii="黑体" w:hAnsi="黑体" w:eastAsia="黑体" w:cs="黑体"/>
          <w:color w:val="000000"/>
          <w:sz w:val="32"/>
        </w:rPr>
        <w:t>八、名词解释</w:t>
      </w:r>
      <w:bookmarkEnd w:id="7"/>
    </w:p>
    <w:p>
      <w:pPr>
        <w:spacing w:line="560" w:lineRule="exact"/>
        <w:ind w:firstLine="560" w:firstLineChars="20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指财政当年拨付的资金。</w:t>
      </w:r>
    </w:p>
    <w:p>
      <w:pPr>
        <w:spacing w:line="560" w:lineRule="exact"/>
        <w:ind w:firstLine="560" w:firstLineChars="20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60" w:lineRule="exact"/>
        <w:ind w:firstLine="560" w:firstLineChars="20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60" w:lineRule="exact"/>
        <w:ind w:firstLine="560" w:firstLineChars="20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60" w:lineRule="exact"/>
        <w:ind w:firstLine="560" w:firstLineChars="20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60" w:lineRule="exact"/>
        <w:ind w:firstLine="560" w:firstLineChars="20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60" w:lineRule="exact"/>
        <w:ind w:firstLine="560" w:firstLineChars="20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560" w:firstLineChars="20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60" w:firstLineChars="20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60" w:lineRule="exact"/>
        <w:ind w:firstLine="560" w:firstLineChars="20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60" w:lineRule="exact"/>
        <w:ind w:firstLine="640" w:firstLineChars="200"/>
        <w:outlineLvl w:val="2"/>
      </w:pPr>
      <w:bookmarkStart w:id="8" w:name="_Toc29862"/>
      <w:r>
        <w:rPr>
          <w:rFonts w:ascii="黑体" w:hAnsi="黑体" w:eastAsia="黑体" w:cs="黑体"/>
          <w:color w:val="000000"/>
          <w:sz w:val="32"/>
        </w:rPr>
        <w:t>九、其他需要说明的事项</w:t>
      </w:r>
      <w:bookmarkEnd w:id="8"/>
    </w:p>
    <w:p>
      <w:pPr>
        <w:spacing w:line="560" w:lineRule="exact"/>
        <w:ind w:firstLine="560" w:firstLineChars="200"/>
        <w:rPr>
          <w:rFonts w:eastAsiaTheme="minorEastAsia"/>
          <w:lang w:eastAsia="zh-CN"/>
        </w:rPr>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_GBK">
    <w:altName w:val="方正小标宋简体"/>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altName w:val="汉仪楷体简"/>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00299"/>
    <w:multiLevelType w:val="singleLevel"/>
    <w:tmpl w:val="6CC002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MWRkZjFlMjMzOGFjOWMwZDllNWNkNTY0ZDIyYmIifQ=="/>
  </w:docVars>
  <w:rsids>
    <w:rsidRoot w:val="002C7E38"/>
    <w:rsid w:val="00087336"/>
    <w:rsid w:val="000E5888"/>
    <w:rsid w:val="002A350F"/>
    <w:rsid w:val="002C7E38"/>
    <w:rsid w:val="002D1F0F"/>
    <w:rsid w:val="00342201"/>
    <w:rsid w:val="004C3306"/>
    <w:rsid w:val="004F7FE5"/>
    <w:rsid w:val="00537EC1"/>
    <w:rsid w:val="005D7D52"/>
    <w:rsid w:val="006C3153"/>
    <w:rsid w:val="00722B1C"/>
    <w:rsid w:val="007A0250"/>
    <w:rsid w:val="007A7E9D"/>
    <w:rsid w:val="007C1FFF"/>
    <w:rsid w:val="007C26C0"/>
    <w:rsid w:val="009935F7"/>
    <w:rsid w:val="009B7058"/>
    <w:rsid w:val="00AB707F"/>
    <w:rsid w:val="00AD2E70"/>
    <w:rsid w:val="00AE27FF"/>
    <w:rsid w:val="00B017A5"/>
    <w:rsid w:val="00B13281"/>
    <w:rsid w:val="00BF47ED"/>
    <w:rsid w:val="00C277AE"/>
    <w:rsid w:val="00CA637E"/>
    <w:rsid w:val="00D44B6A"/>
    <w:rsid w:val="00E30C39"/>
    <w:rsid w:val="00E61007"/>
    <w:rsid w:val="00F4011F"/>
    <w:rsid w:val="03EF66A9"/>
    <w:rsid w:val="09FE0C04"/>
    <w:rsid w:val="0BCB07EA"/>
    <w:rsid w:val="0DF0319D"/>
    <w:rsid w:val="15E476EC"/>
    <w:rsid w:val="218002AC"/>
    <w:rsid w:val="260A78E0"/>
    <w:rsid w:val="2D833DD4"/>
    <w:rsid w:val="33997124"/>
    <w:rsid w:val="3FAF1651"/>
    <w:rsid w:val="4E11048E"/>
    <w:rsid w:val="5B161ED2"/>
    <w:rsid w:val="6C701484"/>
    <w:rsid w:val="71032E6F"/>
    <w:rsid w:val="71C2470B"/>
    <w:rsid w:val="76903AF5"/>
    <w:rsid w:val="7B387CD2"/>
    <w:rsid w:val="7BFB9155"/>
    <w:rsid w:val="7CFF64BB"/>
    <w:rsid w:val="7FE6BEC4"/>
    <w:rsid w:val="D7FE636E"/>
    <w:rsid w:val="EBFFDF5B"/>
    <w:rsid w:val="F5ED66EA"/>
    <w:rsid w:val="FFB76D35"/>
    <w:rsid w:val="FFFF2719"/>
    <w:rsid w:val="FFFF4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181</Pages>
  <Words>79606</Words>
  <Characters>85278</Characters>
  <Lines>681</Lines>
  <Paragraphs>191</Paragraphs>
  <TotalTime>162</TotalTime>
  <ScaleCrop>false</ScaleCrop>
  <LinksUpToDate>false</LinksUpToDate>
  <CharactersWithSpaces>85284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2023-02-24T06:19:00Z</dcterms:created>
  <dc:creator>g</dc:creator>
  <cp:lastModifiedBy>Queen沐</cp:lastModifiedBy>
  <cp:lastPrinted>2023-02-24T19:19:00Z</cp:lastPrinted>
  <dcterms:modified xsi:type="dcterms:W3CDTF">2024-05-14T16:59:26Z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097231C156D9E4DEEE274366860C0D6A_43</vt:lpwstr>
  </property>
</Properties>
</file>