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center"/>
        <w:textAlignment w:val="auto"/>
        <w:rPr>
          <w:rFonts w:hint="eastAsia" w:ascii="Times New Roman" w:hAnsi="Times New Roman" w:eastAsia="宋体" w:cs="Times New Roman"/>
          <w:b/>
          <w:bCs/>
          <w:color w:val="000000"/>
          <w:kern w:val="2"/>
          <w:sz w:val="36"/>
          <w:szCs w:val="36"/>
          <w:highlight w:val="none"/>
          <w:lang w:val="en-US" w:eastAsia="zh-CN" w:bidi="ar-SA"/>
        </w:rPr>
      </w:pPr>
      <w:r>
        <w:rPr>
          <w:rFonts w:hint="eastAsia" w:ascii="Times New Roman" w:hAnsi="Times New Roman" w:eastAsia="宋体" w:cs="Times New Roman"/>
          <w:b/>
          <w:bCs/>
          <w:color w:val="000000"/>
          <w:kern w:val="2"/>
          <w:sz w:val="36"/>
          <w:szCs w:val="36"/>
          <w:highlight w:val="none"/>
          <w:lang w:val="en-US" w:eastAsia="zh-CN" w:bidi="ar-SA"/>
        </w:rPr>
        <w:t>北京大兴国际机场新机场东再生水厂工程项目</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center"/>
        <w:textAlignment w:val="auto"/>
        <w:rPr>
          <w:rFonts w:hint="eastAsia" w:ascii="Times New Roman" w:hAnsi="Times New Roman" w:eastAsia="宋体" w:cs="Times New Roman"/>
          <w:b/>
          <w:bCs/>
          <w:color w:val="000000"/>
          <w:kern w:val="2"/>
          <w:sz w:val="36"/>
          <w:szCs w:val="36"/>
          <w:highlight w:val="none"/>
          <w:lang w:val="en-US" w:eastAsia="zh-CN" w:bidi="ar-SA"/>
        </w:rPr>
      </w:pPr>
      <w:r>
        <w:rPr>
          <w:rFonts w:hint="eastAsia" w:ascii="Times New Roman" w:hAnsi="Times New Roman" w:eastAsia="宋体" w:cs="Times New Roman"/>
          <w:b/>
          <w:bCs/>
          <w:color w:val="000000"/>
          <w:kern w:val="2"/>
          <w:sz w:val="36"/>
          <w:szCs w:val="36"/>
          <w:highlight w:val="none"/>
          <w:lang w:val="en-US" w:eastAsia="zh-CN" w:bidi="ar-SA"/>
        </w:rPr>
        <w:t>基本情况</w:t>
      </w:r>
    </w:p>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line="520" w:lineRule="exact"/>
        <w:ind w:leftChars="0" w:firstLine="562" w:firstLineChars="200"/>
        <w:jc w:val="both"/>
        <w:textAlignment w:val="auto"/>
        <w:rPr>
          <w:rFonts w:hint="eastAsia"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一、项目名称</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北京大兴国际机场新机场东再生水厂工程项目环境影响报告书</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二、建设单位</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河北临空集团有限公司</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三、建设地点</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北京大兴国际机场临空经济区廊坊片区航空物流区，位于</w:t>
      </w:r>
      <w:r>
        <w:rPr>
          <w:rFonts w:hint="default" w:ascii="Times New Roman" w:hAnsi="Times New Roman" w:eastAsia="宋体" w:cs="Times New Roman"/>
          <w:b w:val="0"/>
          <w:bCs w:val="0"/>
          <w:color w:val="000000"/>
          <w:kern w:val="2"/>
          <w:sz w:val="28"/>
          <w:szCs w:val="28"/>
          <w:highlight w:val="none"/>
          <w:lang w:val="en-US" w:eastAsia="zh-CN" w:bidi="ar-SA"/>
        </w:rPr>
        <w:t>永北干渠南侧</w:t>
      </w:r>
      <w:r>
        <w:rPr>
          <w:rFonts w:hint="eastAsia" w:ascii="Times New Roman" w:hAnsi="Times New Roman" w:eastAsia="宋体" w:cs="Times New Roman"/>
          <w:b w:val="0"/>
          <w:bCs w:val="0"/>
          <w:color w:val="000000"/>
          <w:kern w:val="2"/>
          <w:sz w:val="28"/>
          <w:szCs w:val="28"/>
          <w:highlight w:val="none"/>
          <w:lang w:val="en-US" w:eastAsia="zh-CN" w:bidi="ar-SA"/>
        </w:rPr>
        <w:t>、</w:t>
      </w:r>
      <w:r>
        <w:rPr>
          <w:rFonts w:hint="default" w:ascii="Times New Roman" w:hAnsi="Times New Roman" w:eastAsia="宋体" w:cs="Times New Roman"/>
          <w:b w:val="0"/>
          <w:bCs w:val="0"/>
          <w:color w:val="000000"/>
          <w:kern w:val="2"/>
          <w:sz w:val="28"/>
          <w:szCs w:val="28"/>
          <w:highlight w:val="none"/>
          <w:lang w:val="en-US" w:eastAsia="zh-CN" w:bidi="ar-SA"/>
        </w:rPr>
        <w:t>京台高速西侧</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四、环境影响评价机构</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廊坊市嘉铭环保技术咨询服务有限公司</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五、项目概况</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default" w:ascii="Times New Roman" w:hAnsi="Times New Roman" w:eastAsia="宋体" w:cs="Times New Roman"/>
          <w:b w:val="0"/>
          <w:bCs w:val="0"/>
          <w:color w:val="000000"/>
          <w:kern w:val="2"/>
          <w:sz w:val="28"/>
          <w:szCs w:val="28"/>
          <w:highlight w:val="none"/>
          <w:lang w:val="en-US" w:eastAsia="zh-CN" w:bidi="ar-SA"/>
        </w:rPr>
        <w:t>本项目总投资12850万元</w:t>
      </w:r>
      <w:r>
        <w:rPr>
          <w:rFonts w:hint="eastAsia" w:ascii="Times New Roman" w:hAnsi="Times New Roman" w:eastAsia="宋体" w:cs="Times New Roman"/>
          <w:b w:val="0"/>
          <w:bCs w:val="0"/>
          <w:color w:val="000000"/>
          <w:kern w:val="2"/>
          <w:sz w:val="28"/>
          <w:szCs w:val="28"/>
          <w:highlight w:val="none"/>
          <w:lang w:val="en-US" w:eastAsia="zh-CN" w:bidi="ar-SA"/>
        </w:rPr>
        <w:t>；</w:t>
      </w:r>
      <w:r>
        <w:rPr>
          <w:rFonts w:hint="default" w:ascii="Times New Roman" w:hAnsi="Times New Roman" w:eastAsia="宋体" w:cs="Times New Roman"/>
          <w:b w:val="0"/>
          <w:bCs w:val="0"/>
          <w:color w:val="000000"/>
          <w:kern w:val="2"/>
          <w:sz w:val="28"/>
          <w:szCs w:val="28"/>
          <w:highlight w:val="none"/>
          <w:lang w:val="en-US" w:eastAsia="zh-CN" w:bidi="ar-SA"/>
        </w:rPr>
        <w:t>本项目属于环境保护工程，投资均属环保投资，即环保投资占总投资的100%</w:t>
      </w:r>
      <w:r>
        <w:rPr>
          <w:rFonts w:hint="eastAsia" w:ascii="Times New Roman" w:hAnsi="Times New Roman" w:eastAsia="宋体" w:cs="Times New Roman"/>
          <w:b w:val="0"/>
          <w:bCs w:val="0"/>
          <w:color w:val="000000"/>
          <w:kern w:val="2"/>
          <w:sz w:val="28"/>
          <w:szCs w:val="28"/>
          <w:highlight w:val="none"/>
          <w:lang w:val="en-US" w:eastAsia="zh-CN" w:bidi="ar-SA"/>
        </w:rPr>
        <w:t>；项目位于北京大兴国际机场临空经济区廊坊片区中的航空物流区，位于</w:t>
      </w:r>
      <w:r>
        <w:rPr>
          <w:rFonts w:hint="default" w:ascii="Times New Roman" w:hAnsi="Times New Roman" w:eastAsia="宋体" w:cs="Times New Roman"/>
          <w:b w:val="0"/>
          <w:bCs w:val="0"/>
          <w:color w:val="000000"/>
          <w:kern w:val="2"/>
          <w:sz w:val="28"/>
          <w:szCs w:val="28"/>
          <w:highlight w:val="none"/>
          <w:lang w:val="en-US" w:eastAsia="zh-CN" w:bidi="ar-SA"/>
        </w:rPr>
        <w:t>永北干渠南侧</w:t>
      </w:r>
      <w:r>
        <w:rPr>
          <w:rFonts w:hint="eastAsia" w:ascii="Times New Roman" w:hAnsi="Times New Roman" w:eastAsia="宋体" w:cs="Times New Roman"/>
          <w:b w:val="0"/>
          <w:bCs w:val="0"/>
          <w:color w:val="000000"/>
          <w:kern w:val="2"/>
          <w:sz w:val="28"/>
          <w:szCs w:val="28"/>
          <w:highlight w:val="none"/>
          <w:lang w:val="en-US" w:eastAsia="zh-CN" w:bidi="ar-SA"/>
        </w:rPr>
        <w:t>、</w:t>
      </w:r>
      <w:r>
        <w:rPr>
          <w:rFonts w:hint="default" w:ascii="Times New Roman" w:hAnsi="Times New Roman" w:eastAsia="宋体" w:cs="Times New Roman"/>
          <w:b w:val="0"/>
          <w:bCs w:val="0"/>
          <w:color w:val="000000"/>
          <w:kern w:val="2"/>
          <w:sz w:val="28"/>
          <w:szCs w:val="28"/>
          <w:highlight w:val="none"/>
          <w:lang w:val="en-US" w:eastAsia="zh-CN" w:bidi="ar-SA"/>
        </w:rPr>
        <w:t>京台高速西侧</w:t>
      </w:r>
      <w:r>
        <w:rPr>
          <w:rFonts w:hint="eastAsia" w:ascii="Times New Roman" w:hAnsi="Times New Roman" w:eastAsia="宋体" w:cs="Times New Roman"/>
          <w:b w:val="0"/>
          <w:bCs w:val="0"/>
          <w:color w:val="000000"/>
          <w:kern w:val="2"/>
          <w:sz w:val="28"/>
          <w:szCs w:val="28"/>
          <w:highlight w:val="none"/>
          <w:lang w:val="en-US" w:eastAsia="zh-CN" w:bidi="ar-SA"/>
        </w:rPr>
        <w:t>；占地面积为20003m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2</w:t>
      </w:r>
      <w:r>
        <w:rPr>
          <w:rFonts w:hint="eastAsia" w:ascii="Times New Roman" w:hAnsi="Times New Roman" w:eastAsia="宋体" w:cs="Times New Roman"/>
          <w:b w:val="0"/>
          <w:bCs w:val="0"/>
          <w:color w:val="000000"/>
          <w:kern w:val="2"/>
          <w:sz w:val="28"/>
          <w:szCs w:val="28"/>
          <w:highlight w:val="none"/>
          <w:lang w:val="en-US" w:eastAsia="zh-CN" w:bidi="ar-SA"/>
        </w:rPr>
        <w:t>。项目总建筑面积为3905.95m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2</w:t>
      </w:r>
      <w:r>
        <w:rPr>
          <w:rFonts w:hint="eastAsia" w:ascii="Times New Roman" w:hAnsi="Times New Roman" w:eastAsia="宋体" w:cs="Times New Roman"/>
          <w:b w:val="0"/>
          <w:bCs w:val="0"/>
          <w:color w:val="000000"/>
          <w:kern w:val="2"/>
          <w:sz w:val="28"/>
          <w:szCs w:val="28"/>
          <w:highlight w:val="none"/>
          <w:lang w:val="en-US" w:eastAsia="zh-CN" w:bidi="ar-SA"/>
        </w:rPr>
        <w:t>。总处理规模为15000m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/d，一期为7500m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/d、二期新增7500m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厂区内建构筑物土建按照总规模一次性建成；生化及深度处理部分设备分期安装。建构筑物包含：粗格栅及提升泵房、细格栅及曝气沉砂池、调节池、生化系统、二沉池、高密度沉淀池、反硝化深床滤池、清水消毒池及回用泵房、污泥回流池、污泥浓缩池、污泥调理池、污泥脱水车间、加药间、鼓风机房及变配电间、进水在线监测间、除臭系统基础、综合楼、门卫室等。本项目不包含厂外管网建设。</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六、主要环境影响及预防或者减轻不良环境影响的对策和措施</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（一）废气</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本项目运营期废气主要来自粗格栅渠及集水池、细格栅渠及曝气沉砂池、调节应急池、预缺氧池、厌氧池及污泥处理系统产生的恶臭气体，主要为NH</w:t>
      </w:r>
      <w:r>
        <w:rPr>
          <w:rFonts w:hint="eastAsia" w:ascii="Times New Roman" w:hAnsi="Times New Roman" w:eastAsia="宋体" w:cs="Times New Roman"/>
          <w:b w:val="0"/>
          <w:bCs w:val="0"/>
          <w:color w:val="000000"/>
          <w:kern w:val="2"/>
          <w:sz w:val="28"/>
          <w:szCs w:val="28"/>
          <w:highlight w:val="none"/>
          <w:vertAlign w:val="sub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、H</w:t>
      </w:r>
      <w:r>
        <w:rPr>
          <w:rFonts w:hint="eastAsia" w:ascii="Times New Roman" w:hAnsi="Times New Roman" w:eastAsia="宋体" w:cs="Times New Roman"/>
          <w:b w:val="0"/>
          <w:bCs w:val="0"/>
          <w:color w:val="000000"/>
          <w:kern w:val="2"/>
          <w:sz w:val="28"/>
          <w:szCs w:val="28"/>
          <w:highlight w:val="none"/>
          <w:vertAlign w:val="subscript"/>
          <w:lang w:val="en-US" w:eastAsia="zh-CN" w:bidi="ar-SA"/>
        </w:rPr>
        <w:t>2</w:t>
      </w:r>
      <w:r>
        <w:rPr>
          <w:rFonts w:hint="eastAsia" w:ascii="Times New Roman" w:hAnsi="Times New Roman" w:eastAsia="宋体" w:cs="Times New Roman"/>
          <w:b w:val="0"/>
          <w:bCs w:val="0"/>
          <w:color w:val="000000"/>
          <w:kern w:val="2"/>
          <w:sz w:val="28"/>
          <w:szCs w:val="28"/>
          <w:highlight w:val="none"/>
          <w:lang w:val="en-US" w:eastAsia="zh-CN" w:bidi="ar-SA"/>
        </w:rPr>
        <w:t>S、臭气浓度；食堂烹饪产生的饮食油烟。</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1、恶臭气体</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粗格栅渠及集水池、细格栅渠及曝气沉砂池、污泥浓缩池、污泥脱水机房加罩，并设置集气管道；调节应急池、预缺氧池、厌氧池及污泥调理池加盖并设置集气管道；各产臭点产生的恶臭气体均经集气管道收集后由引风机引入1套生物滤池设备处理，处理后通过1根15m高排气筒（DA001）排放。NH</w:t>
      </w:r>
      <w:r>
        <w:rPr>
          <w:rFonts w:hint="eastAsia" w:ascii="Times New Roman" w:hAnsi="Times New Roman" w:eastAsia="宋体" w:cs="Times New Roman"/>
          <w:b w:val="0"/>
          <w:bCs w:val="0"/>
          <w:color w:val="000000"/>
          <w:kern w:val="2"/>
          <w:sz w:val="28"/>
          <w:szCs w:val="28"/>
          <w:highlight w:val="none"/>
          <w:vertAlign w:val="sub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、H</w:t>
      </w:r>
      <w:r>
        <w:rPr>
          <w:rFonts w:hint="eastAsia" w:ascii="Times New Roman" w:hAnsi="Times New Roman" w:eastAsia="宋体" w:cs="Times New Roman"/>
          <w:b w:val="0"/>
          <w:bCs w:val="0"/>
          <w:color w:val="000000"/>
          <w:kern w:val="2"/>
          <w:sz w:val="28"/>
          <w:szCs w:val="28"/>
          <w:highlight w:val="none"/>
          <w:vertAlign w:val="subscript"/>
          <w:lang w:val="en-US" w:eastAsia="zh-CN" w:bidi="ar-SA"/>
        </w:rPr>
        <w:t>2</w:t>
      </w:r>
      <w:r>
        <w:rPr>
          <w:rFonts w:hint="eastAsia" w:ascii="Times New Roman" w:hAnsi="Times New Roman" w:eastAsia="宋体" w:cs="Times New Roman"/>
          <w:b w:val="0"/>
          <w:bCs w:val="0"/>
          <w:color w:val="000000"/>
          <w:kern w:val="2"/>
          <w:sz w:val="28"/>
          <w:szCs w:val="28"/>
          <w:highlight w:val="none"/>
          <w:lang w:val="en-US" w:eastAsia="zh-CN" w:bidi="ar-SA"/>
        </w:rPr>
        <w:t>S排放速率及臭气浓度均满足《恶臭污染物排放标准》（GB14554-93）中表2标准。</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2、饮食油烟</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在灶口上方安装集气罩收集油烟，通过引风机引入油烟净化器净化，处理后的油烟通过排风管道从楼顶排放口排放。饮食油烟排放浓度及净化效率均满足《饮食业油烟排放标准》（GB18483-2001）表2“中型”标准要求。</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（二）废水</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本项目排水采用雨污分流制排水系统，雨水系统经管道收集后排入市政雨水管网。项目废水主要为生产废水、职工生活污水。</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生产废水主要包括配置药剂废水、化验室废水、污泥脱水机房冲洗废水、软化水处理废水。配置药剂废水全部随药剂进入厂区污水处理系统；化验室废水、污泥脱水机房冲洗废水均经管道收集后输送至厂区污水处理系统处理；软化水处理废水用于泼洒厂区抑尘；生活污水经管道收集后输送至厂区污水处理系统处理。</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本项目污水处理厂一期设计处理规模为7500m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/d、二期新增处理规模为7500m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/d，总设计处理规模为15000m</w:t>
      </w:r>
      <w:r>
        <w:rPr>
          <w:rFonts w:hint="eastAsia" w:ascii="Times New Roman" w:hAnsi="Times New Roman" w:eastAsia="宋体" w:cs="Times New Roman"/>
          <w:b w:val="0"/>
          <w:bCs w:val="0"/>
          <w:color w:val="000000"/>
          <w:kern w:val="2"/>
          <w:sz w:val="28"/>
          <w:szCs w:val="28"/>
          <w:highlight w:val="none"/>
          <w:vertAlign w:val="superscript"/>
          <w:lang w:val="en-US" w:eastAsia="zh-CN" w:bidi="ar-SA"/>
        </w:rPr>
        <w:t>3</w:t>
      </w:r>
      <w:r>
        <w:rPr>
          <w:rFonts w:hint="eastAsia" w:ascii="Times New Roman" w:hAnsi="Times New Roman" w:eastAsia="宋体" w:cs="Times New Roman"/>
          <w:b w:val="0"/>
          <w:bCs w:val="0"/>
          <w:color w:val="000000"/>
          <w:kern w:val="2"/>
          <w:sz w:val="28"/>
          <w:szCs w:val="28"/>
          <w:highlight w:val="none"/>
          <w:lang w:val="en-US" w:eastAsia="zh-CN" w:bidi="ar-SA"/>
        </w:rPr>
        <w:t>/d，污水处理工艺为“粗细格栅+曝气沉砂+调节应急池+预缺氧+厌氧+两级A/O工艺+沉淀+高密度沉淀+深床反硝化+消毒”，污水经处理后满足《城镇污水处理厂水污染物排放标准》（DB11/890-2012）中B排放限值以及《城镇污水处理厂污染物排放标准》（GB18918-2002）及2006年修改单一级A标准要求后，再生水部分回用于厂区用水，其余再生水经管道（DW001）排放至北侧湿地后进入永北干渠，再汇入龙河。</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sz w:val="28"/>
          <w:szCs w:val="28"/>
          <w:lang w:val="en-US" w:eastAsia="zh-CN"/>
        </w:rPr>
      </w:pPr>
      <w:r>
        <w:rPr>
          <w:rFonts w:hint="eastAsia" w:ascii="Times New Roman" w:hAnsi="Times New Roman" w:eastAsia="宋体" w:cs="Times New Roman"/>
          <w:b w:val="0"/>
          <w:bCs w:val="0"/>
          <w:color w:val="000000"/>
          <w:kern w:val="2"/>
          <w:sz w:val="28"/>
          <w:szCs w:val="28"/>
          <w:highlight w:val="none"/>
          <w:lang w:val="en-US" w:eastAsia="zh-CN" w:bidi="ar-SA"/>
        </w:rPr>
        <w:t>（三）噪声</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主要噪声设备为配套水泵和潜水搅拌机、刮泥机、污泥处理设备、风机等，噪声级为80~95dB(A)。所有的产噪设备采取隔声、基础减振等措施，将噪声源强较高的车间采用吸声、隔声性能好的材料。污水泵、污泥泵、潜水搅拌机主要为潜水式安装，经过水体隔声后传播到外部环境噪声会大大衰减。采取以上措施后，厂界噪声可满足《工业企业厂界环境噪声排放标准》（GB12348-2008）表1中2类标准。</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（四）固废</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本项目固体废物主要为污水处理过程中粗格栅及细格栅产生的栅渣、曝气沉砂池产生的沉砂、污泥脱水后产生的污泥、化验室废残液及在线监测废液、废试剂瓶、职工生活垃圾等。</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1、栅渣</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本项目栅渣直接落入设备下方收渣小车内，定期外运垃圾填埋场卫生填埋，不在厂内储存。</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2、沉砂</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本项目沉砂直接落入收渣小车内，定期送垃圾填埋场卫生填埋，不在厂内储存。</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bookmarkStart w:id="0" w:name="_GoBack"/>
      <w:bookmarkEnd w:id="0"/>
      <w:r>
        <w:rPr>
          <w:rFonts w:hint="eastAsia" w:ascii="Times New Roman" w:hAnsi="Times New Roman" w:eastAsia="宋体" w:cs="Times New Roman"/>
          <w:b w:val="0"/>
          <w:bCs w:val="0"/>
          <w:color w:val="000000"/>
          <w:kern w:val="2"/>
          <w:sz w:val="28"/>
          <w:szCs w:val="28"/>
          <w:highlight w:val="none"/>
          <w:lang w:val="en-US" w:eastAsia="zh-CN" w:bidi="ar-SA"/>
        </w:rPr>
        <w:t>3、污泥</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污泥经污泥浓缩池浓缩后采用高压隔膜压滤机进行脱水脱水后的污泥通过输送机输送至污泥脱水机房内的污泥暂存区暂存。污泥处理后污泥含水率满足《城镇污水处理厂污染物排放标准》（GB18918-2002）及2006年修改单中污泥排放标准。</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依据原环境保护部环函[2010]129号《关于污（废）水处理设施产生污泥危险特性鉴别有关意见的函》中第二条，专门处理工业废水（或同时处理少量生活污水）的处理设施产生的污泥，可能具有危险特性，应按《国家危险废物名录》、国家环境保护标准《危险废物鉴别技术规范》（HJ/T298-2007）和危险废物鉴别标准的规定，对污泥进行危险特性鉴别。本项目主要处理生活污水及少量工业废水，因此污泥不需要进行鉴别，按一般固体废物处理，由国家能源集团华北电力有限公司廊坊热电厂处置，不在厂内储存。</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4</w:t>
      </w:r>
      <w:r>
        <w:rPr>
          <w:rFonts w:hint="default" w:ascii="Times New Roman" w:hAnsi="Times New Roman" w:eastAsia="宋体" w:cs="Times New Roman"/>
          <w:b w:val="0"/>
          <w:bCs w:val="0"/>
          <w:color w:val="000000"/>
          <w:kern w:val="2"/>
          <w:sz w:val="28"/>
          <w:szCs w:val="28"/>
          <w:highlight w:val="none"/>
          <w:lang w:val="en-US" w:eastAsia="zh-CN" w:bidi="ar-SA"/>
        </w:rPr>
        <w:t>、化验室废残液及在线监测废液、废试剂瓶</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本项目化验室废残液、在线监测废液及废试剂瓶均属于危险废物，废液采用专用容器收集暂存于危废间</w:t>
      </w:r>
      <w:r>
        <w:rPr>
          <w:rFonts w:hint="eastAsia" w:ascii="Times New Roman" w:hAnsi="Times New Roman" w:eastAsia="宋体" w:cs="Times New Roman"/>
          <w:snapToGrid w:val="0"/>
          <w:color w:val="000000"/>
          <w:szCs w:val="20"/>
          <w:highlight w:val="none"/>
          <w:lang w:val="en-US" w:eastAsia="zh-CN"/>
        </w:rPr>
        <w:t>，</w:t>
      </w:r>
      <w:r>
        <w:rPr>
          <w:rFonts w:hint="eastAsia" w:ascii="Times New Roman" w:hAnsi="Times New Roman" w:eastAsia="宋体" w:cs="Times New Roman"/>
          <w:b w:val="0"/>
          <w:bCs w:val="0"/>
          <w:color w:val="000000"/>
          <w:kern w:val="2"/>
          <w:sz w:val="28"/>
          <w:szCs w:val="28"/>
          <w:highlight w:val="none"/>
          <w:lang w:val="en-US" w:eastAsia="zh-CN" w:bidi="ar-SA"/>
        </w:rPr>
        <w:t>定期交由有资质单位处置。</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5</w:t>
      </w:r>
      <w:r>
        <w:rPr>
          <w:rFonts w:hint="default" w:ascii="Times New Roman" w:hAnsi="Times New Roman" w:eastAsia="宋体" w:cs="Times New Roman"/>
          <w:b w:val="0"/>
          <w:bCs w:val="0"/>
          <w:color w:val="000000"/>
          <w:kern w:val="2"/>
          <w:sz w:val="28"/>
          <w:szCs w:val="28"/>
          <w:highlight w:val="none"/>
          <w:lang w:val="en-US" w:eastAsia="zh-CN" w:bidi="ar-SA"/>
        </w:rPr>
        <w:t>、职工生活垃圾</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0" w:firstLineChars="200"/>
        <w:jc w:val="both"/>
        <w:textAlignment w:val="auto"/>
        <w:rPr>
          <w:rFonts w:hint="default" w:ascii="Times New Roman" w:hAnsi="Times New Roman" w:eastAsia="宋体" w:cs="Times New Roman"/>
          <w:b w:val="0"/>
          <w:bCs w:val="0"/>
          <w:color w:val="000000"/>
          <w:kern w:val="2"/>
          <w:sz w:val="28"/>
          <w:szCs w:val="28"/>
          <w:highlight w:val="none"/>
          <w:lang w:val="en-US" w:eastAsia="zh-CN" w:bidi="ar-SA"/>
        </w:rPr>
      </w:pPr>
      <w:r>
        <w:rPr>
          <w:rFonts w:hint="default" w:ascii="Times New Roman" w:hAnsi="Times New Roman" w:eastAsia="宋体" w:cs="Times New Roman"/>
          <w:b w:val="0"/>
          <w:bCs w:val="0"/>
          <w:color w:val="000000"/>
          <w:kern w:val="2"/>
          <w:sz w:val="28"/>
          <w:szCs w:val="28"/>
          <w:highlight w:val="none"/>
          <w:lang w:val="en-US" w:eastAsia="zh-CN" w:bidi="ar-SA"/>
        </w:rPr>
        <w:t>本项目职工生活垃圾由当地环卫部门统一清运。</w:t>
      </w:r>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ind w:leftChars="0" w:firstLine="562" w:firstLineChars="200"/>
        <w:jc w:val="both"/>
        <w:textAlignment w:val="auto"/>
        <w:rPr>
          <w:rFonts w:hint="default" w:ascii="Times New Roman" w:hAnsi="Times New Roman" w:eastAsia="宋体" w:cs="Times New Roman"/>
          <w:b/>
          <w:bCs/>
          <w:color w:val="000000"/>
          <w:kern w:val="2"/>
          <w:sz w:val="28"/>
          <w:szCs w:val="28"/>
          <w:highlight w:val="none"/>
          <w:lang w:val="en-US" w:eastAsia="zh-CN" w:bidi="ar-SA"/>
        </w:rPr>
      </w:pPr>
      <w:r>
        <w:rPr>
          <w:rFonts w:hint="eastAsia" w:ascii="Times New Roman" w:hAnsi="Times New Roman" w:eastAsia="宋体" w:cs="Times New Roman"/>
          <w:b/>
          <w:bCs/>
          <w:color w:val="000000"/>
          <w:kern w:val="2"/>
          <w:sz w:val="28"/>
          <w:szCs w:val="28"/>
          <w:highlight w:val="none"/>
          <w:lang w:val="en-US" w:eastAsia="zh-CN" w:bidi="ar-SA"/>
        </w:rPr>
        <w:t>七、公众参与情况</w:t>
      </w:r>
    </w:p>
    <w:p>
      <w:pPr>
        <w:keepNext w:val="0"/>
        <w:keepLines w:val="0"/>
        <w:pageBreakBefore w:val="0"/>
        <w:widowControl w:val="0"/>
        <w:kinsoku/>
        <w:wordWrap/>
        <w:overflowPunct/>
        <w:topLinePunct w:val="0"/>
        <w:autoSpaceDE/>
        <w:autoSpaceDN/>
        <w:bidi w:val="0"/>
        <w:snapToGrid/>
        <w:spacing w:line="520" w:lineRule="exact"/>
        <w:ind w:leftChars="0" w:firstLine="560" w:firstLineChars="200"/>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建设单位于2021年11月25日通过网络进行了第一次公示；在报告书基本编制完成后，于2021年12月30日，进行了本项目环境影响报告书征求意见稿的网络、报纸及张贴公示（公示期2021年12月30日至2022年01月13日）。</w:t>
      </w:r>
    </w:p>
    <w:p>
      <w:pPr>
        <w:keepNext w:val="0"/>
        <w:keepLines w:val="0"/>
        <w:pageBreakBefore w:val="0"/>
        <w:widowControl w:val="0"/>
        <w:kinsoku/>
        <w:wordWrap/>
        <w:overflowPunct/>
        <w:topLinePunct w:val="0"/>
        <w:autoSpaceDE/>
        <w:autoSpaceDN/>
        <w:bidi w:val="0"/>
        <w:snapToGrid/>
        <w:spacing w:line="520" w:lineRule="exact"/>
        <w:ind w:leftChars="0" w:firstLine="560" w:firstLineChars="200"/>
        <w:textAlignment w:val="auto"/>
        <w:rPr>
          <w:rFonts w:hint="eastAsia" w:ascii="Times New Roman" w:hAnsi="Times New Roman" w:eastAsia="宋体" w:cs="Times New Roman"/>
          <w:b w:val="0"/>
          <w:bCs w:val="0"/>
          <w:color w:val="000000"/>
          <w:kern w:val="2"/>
          <w:sz w:val="28"/>
          <w:szCs w:val="28"/>
          <w:highlight w:val="none"/>
          <w:lang w:val="en-US" w:eastAsia="zh-CN" w:bidi="ar-SA"/>
        </w:rPr>
      </w:pPr>
      <w:r>
        <w:rPr>
          <w:rFonts w:hint="eastAsia" w:ascii="Times New Roman" w:hAnsi="Times New Roman" w:eastAsia="宋体" w:cs="Times New Roman"/>
          <w:b w:val="0"/>
          <w:bCs w:val="0"/>
          <w:color w:val="000000"/>
          <w:kern w:val="2"/>
          <w:sz w:val="28"/>
          <w:szCs w:val="28"/>
          <w:highlight w:val="none"/>
          <w:lang w:val="en-US" w:eastAsia="zh-CN" w:bidi="ar-SA"/>
        </w:rPr>
        <w:t>公司通过项目所在地网站、报刊以及项目周边敏感点张贴公告方式征求与该项目环境影响有关的意见。公示期间，未收到反对意见。</w:t>
      </w:r>
    </w:p>
    <w:p>
      <w:pPr>
        <w:keepNext w:val="0"/>
        <w:keepLines w:val="0"/>
        <w:pageBreakBefore w:val="0"/>
        <w:widowControl w:val="0"/>
        <w:kinsoku/>
        <w:wordWrap/>
        <w:overflowPunct/>
        <w:topLinePunct w:val="0"/>
        <w:autoSpaceDE/>
        <w:autoSpaceDN/>
        <w:bidi w:val="0"/>
        <w:snapToGrid/>
        <w:spacing w:line="520" w:lineRule="exact"/>
        <w:ind w:leftChars="0"/>
        <w:textAlignment w:val="auto"/>
        <w:rPr>
          <w:rFonts w:hint="eastAsia" w:ascii="Times New Roman" w:hAnsi="Times New Roman" w:eastAsia="宋体" w:cs="Times New Roman"/>
          <w:b w:val="0"/>
          <w:bCs w:val="0"/>
          <w:color w:val="000000"/>
          <w:kern w:val="2"/>
          <w:sz w:val="28"/>
          <w:szCs w:val="28"/>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FLGPEK+TimesNewRoman,Italic">
    <w:altName w:val="宋体"/>
    <w:panose1 w:val="00000000000000000000"/>
    <w:charset w:val="86"/>
    <w:family w:val="auto"/>
    <w:pitch w:val="default"/>
    <w:sig w:usb0="00000000" w:usb1="00000000" w:usb2="00000010" w:usb3="00000000" w:csb0="00040000" w:csb1="00000000"/>
  </w:font>
  <w:font w:name="Chicago">
    <w:altName w:val="Segoe Print"/>
    <w:panose1 w:val="020B0806080604040204"/>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NWEwMGUxZmZlNDAyNzU2ZmVjZDUxNjgzMzA2MGQifQ=="/>
  </w:docVars>
  <w:rsids>
    <w:rsidRoot w:val="44347B2F"/>
    <w:rsid w:val="010C2147"/>
    <w:rsid w:val="07013F3A"/>
    <w:rsid w:val="070C11E4"/>
    <w:rsid w:val="085A7E4D"/>
    <w:rsid w:val="132C0590"/>
    <w:rsid w:val="190964B5"/>
    <w:rsid w:val="1A757269"/>
    <w:rsid w:val="243F5C4A"/>
    <w:rsid w:val="26A115D6"/>
    <w:rsid w:val="279C5792"/>
    <w:rsid w:val="28814A83"/>
    <w:rsid w:val="2BE94E19"/>
    <w:rsid w:val="309D60F3"/>
    <w:rsid w:val="31BE407F"/>
    <w:rsid w:val="3E9C31F3"/>
    <w:rsid w:val="3F2A3B80"/>
    <w:rsid w:val="43D47D05"/>
    <w:rsid w:val="44347B2F"/>
    <w:rsid w:val="4B0D06FD"/>
    <w:rsid w:val="50AC4837"/>
    <w:rsid w:val="51271DBC"/>
    <w:rsid w:val="59674AFC"/>
    <w:rsid w:val="656C5323"/>
    <w:rsid w:val="65D5198E"/>
    <w:rsid w:val="66157FDD"/>
    <w:rsid w:val="665F049D"/>
    <w:rsid w:val="76C05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0"/>
    <w:pPr>
      <w:keepNext/>
      <w:keepLines/>
      <w:tabs>
        <w:tab w:val="left" w:pos="2736"/>
      </w:tabs>
      <w:adjustRightInd w:val="0"/>
      <w:ind w:left="1131" w:hanging="731"/>
      <w:textAlignment w:val="baseline"/>
      <w:outlineLvl w:val="3"/>
    </w:pPr>
    <w:rPr>
      <w:rFonts w:ascii="FLGPEK+TimesNewRoman,Italic" w:hAnsi="FLGPEK+TimesNewRoman,Italic" w:eastAsia="Calibri" w:cs="Chicago"/>
      <w:sz w:val="28"/>
      <w:szCs w:val="1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Chicago" w:hAnsi="Chicago" w:eastAsia="Calibri" w:cs="Chicago"/>
      <w:kern w:val="2"/>
      <w:sz w:val="21"/>
      <w:szCs w:val="20"/>
    </w:rPr>
  </w:style>
  <w:style w:type="paragraph" w:customStyle="1" w:styleId="3">
    <w:name w:val="（.a正文"/>
    <w:qFormat/>
    <w:uiPriority w:val="0"/>
    <w:pPr>
      <w:adjustRightInd w:val="0"/>
      <w:spacing w:line="480" w:lineRule="exact"/>
      <w:ind w:firstLine="200" w:firstLineChars="200"/>
      <w:jc w:val="both"/>
    </w:pPr>
    <w:rPr>
      <w:rFonts w:ascii="Times New Roman" w:hAnsi="Times New Roman" w:eastAsia="宋体" w:cs="Times New Roman"/>
      <w:bCs/>
      <w:kern w:val="2"/>
      <w:sz w:val="24"/>
      <w:szCs w:val="24"/>
      <w:lang w:val="en-US" w:eastAsia="zh-CN" w:bidi="ar-SA"/>
    </w:rPr>
  </w:style>
  <w:style w:type="paragraph" w:styleId="5">
    <w:name w:val="Body Text"/>
    <w:basedOn w:val="1"/>
    <w:qFormat/>
    <w:uiPriority w:val="0"/>
    <w:pPr>
      <w:spacing w:after="120" w:afterLines="0"/>
    </w:pPr>
    <w:rPr>
      <w:rFonts w:ascii="Chicago" w:hAnsi="Chicago" w:eastAsia="Calibri" w:cs="Chicago"/>
      <w:kern w:val="2"/>
      <w:sz w:val="21"/>
      <w:szCs w:val="20"/>
    </w:rPr>
  </w:style>
  <w:style w:type="character" w:customStyle="1" w:styleId="8">
    <w:name w:val="正文（首行缩进两字） Char Char Char Char1"/>
    <w:qFormat/>
    <w:uiPriority w:val="0"/>
    <w:rPr>
      <w:rFonts w:ascii="Batang" w:hAnsi="Batang" w:eastAsia="FLGPEK+TimesNewRoman,Italic"/>
      <w:snapToGrid w:val="0"/>
      <w:sz w:val="24"/>
      <w:lang w:val="en-US" w:eastAsia="zh-CN" w:bidi="ar-SA"/>
    </w:rPr>
  </w:style>
  <w:style w:type="paragraph" w:customStyle="1" w:styleId="9">
    <w:name w:val="样式 正文文本 + 首行缩进:  2 字符"/>
    <w:basedOn w:val="5"/>
    <w:qFormat/>
    <w:uiPriority w:val="0"/>
    <w:pPr>
      <w:spacing w:after="0" w:line="540" w:lineRule="exact"/>
      <w:jc w:val="center"/>
    </w:pPr>
    <w:rPr>
      <w:rFonts w:ascii="黑体" w:hAnsi="黑体" w:eastAsia="黑体" w:cs="Times New Roman"/>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2188</Words>
  <Characters>2392</Characters>
  <Lines>0</Lines>
  <Paragraphs>0</Paragraphs>
  <TotalTime>0</TotalTime>
  <ScaleCrop>false</ScaleCrop>
  <LinksUpToDate>false</LinksUpToDate>
  <CharactersWithSpaces>2392</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2022-07-18T08:43:00Z</dcterms:created>
  <dc:creator>admin</dc:creator>
  <cp:lastModifiedBy>☀️</cp:lastModifiedBy>
  <dcterms:modified xsi:type="dcterms:W3CDTF">2022-08-04T04:53:00Z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A8B913429C954BB88363809F45DC67FA</vt:lpwstr>
  </property>
</Properties>
</file>